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7FC6B" w14:textId="0238E55E" w:rsidR="00FD0A0E" w:rsidRPr="00B651D9" w:rsidRDefault="00000000">
      <w:pPr>
        <w:widowControl w:val="0"/>
        <w:spacing w:before="120" w:after="120"/>
        <w:ind w:firstLine="0"/>
        <w:jc w:val="center"/>
        <w:outlineLvl w:val="0"/>
        <w:rPr>
          <w:rFonts w:ascii="黑体" w:eastAsia="黑体" w:hAnsi="黑体" w:cs="宋体" w:hint="eastAsia"/>
          <w:b/>
          <w:bCs/>
          <w:kern w:val="44"/>
          <w:sz w:val="32"/>
          <w:szCs w:val="48"/>
        </w:rPr>
      </w:pPr>
      <w:commentRangeStart w:id="0"/>
      <w:commentRangeStart w:id="1"/>
      <w:r>
        <w:rPr>
          <w:rFonts w:ascii="黑体" w:eastAsia="黑体" w:hAnsi="黑体" w:cs="宋体" w:hint="eastAsia"/>
          <w:b/>
          <w:bCs/>
          <w:kern w:val="44"/>
          <w:sz w:val="32"/>
          <w:szCs w:val="48"/>
        </w:rPr>
        <w:t>涉罪未成年人有效辩护的</w:t>
      </w:r>
      <w:r w:rsidR="00B651D9">
        <w:rPr>
          <w:rFonts w:ascii="黑体" w:eastAsia="黑体" w:hAnsi="黑体" w:cs="宋体"/>
          <w:b/>
          <w:bCs/>
          <w:kern w:val="44"/>
          <w:sz w:val="32"/>
          <w:szCs w:val="48"/>
        </w:rPr>
        <w:br/>
      </w:r>
      <w:r>
        <w:rPr>
          <w:rFonts w:ascii="黑体" w:eastAsia="黑体" w:hAnsi="黑体" w:cs="宋体" w:hint="eastAsia"/>
          <w:b/>
          <w:bCs/>
          <w:kern w:val="44"/>
          <w:sz w:val="32"/>
          <w:szCs w:val="48"/>
        </w:rPr>
        <w:t>现实经验、运行原理和发展路径</w:t>
      </w:r>
      <w:commentRangeEnd w:id="0"/>
      <w:r>
        <w:rPr>
          <w:rStyle w:val="af"/>
        </w:rPr>
        <w:commentReference w:id="0"/>
      </w:r>
      <w:commentRangeEnd w:id="1"/>
      <w:r w:rsidR="00B651D9">
        <w:rPr>
          <w:rStyle w:val="af"/>
        </w:rPr>
        <w:commentReference w:id="1"/>
      </w:r>
    </w:p>
    <w:p w14:paraId="47B0DE8C" w14:textId="1AC49158" w:rsidR="00FD0A0E" w:rsidRPr="00B651D9" w:rsidRDefault="00B651D9" w:rsidP="00B651D9">
      <w:pPr>
        <w:widowControl w:val="0"/>
        <w:ind w:firstLine="0"/>
        <w:jc w:val="right"/>
        <w:rPr>
          <w:rFonts w:ascii="黑体" w:eastAsia="黑体" w:hAnsi="黑体" w:cs="Times New Roman" w:hint="eastAsia"/>
          <w:kern w:val="0"/>
          <w:sz w:val="24"/>
          <w:szCs w:val="28"/>
        </w:rPr>
      </w:pPr>
      <w:commentRangeStart w:id="2"/>
      <w:r w:rsidRPr="00B651D9">
        <w:rPr>
          <w:rFonts w:ascii="黑体" w:eastAsia="黑体" w:hAnsi="黑体" w:cs="Times New Roman" w:hint="eastAsia"/>
          <w:kern w:val="0"/>
          <w:sz w:val="24"/>
          <w:szCs w:val="28"/>
        </w:rPr>
        <w:t>——基于XXX视角</w:t>
      </w:r>
      <w:commentRangeEnd w:id="2"/>
      <w:r>
        <w:rPr>
          <w:rStyle w:val="af"/>
        </w:rPr>
        <w:commentReference w:id="2"/>
      </w:r>
    </w:p>
    <w:p w14:paraId="02C38A5C" w14:textId="77777777" w:rsidR="00B651D9" w:rsidRPr="00B651D9" w:rsidRDefault="00B651D9" w:rsidP="00B651D9">
      <w:pPr>
        <w:pStyle w:val="a0"/>
        <w:ind w:firstLine="420"/>
      </w:pPr>
    </w:p>
    <w:p w14:paraId="351B560F" w14:textId="35749A43" w:rsidR="00FD0A0E" w:rsidRDefault="00000000">
      <w:pPr>
        <w:widowControl w:val="0"/>
        <w:ind w:firstLine="0"/>
        <w:jc w:val="center"/>
        <w:rPr>
          <w:rFonts w:ascii="Helvetica Neue" w:eastAsia="楷体" w:hAnsi="Helvetica Neue" w:cs="Times New Roman" w:hint="eastAsia"/>
          <w:kern w:val="0"/>
          <w:sz w:val="24"/>
          <w:szCs w:val="28"/>
        </w:rPr>
      </w:pPr>
      <w:commentRangeStart w:id="3"/>
      <w:commentRangeStart w:id="4"/>
      <w:r>
        <w:rPr>
          <w:rFonts w:ascii="Helvetica Neue" w:eastAsia="楷体" w:hAnsi="Helvetica Neue" w:cs="Times New Roman" w:hint="eastAsia"/>
          <w:kern w:val="0"/>
          <w:sz w:val="24"/>
          <w:szCs w:val="28"/>
        </w:rPr>
        <w:t>刘某</w:t>
      </w:r>
      <w:r w:rsidR="00BE1AAC">
        <w:rPr>
          <w:rFonts w:ascii="Helvetica Neue" w:eastAsia="楷体" w:hAnsi="Helvetica Neue" w:cs="Times New Roman" w:hint="eastAsia"/>
          <w:kern w:val="0"/>
          <w:sz w:val="24"/>
          <w:szCs w:val="28"/>
        </w:rPr>
        <w:t>某</w:t>
      </w:r>
      <w:r>
        <w:rPr>
          <w:rFonts w:ascii="Times New Roman Regular" w:eastAsia="楷体" w:hAnsi="Times New Roman Regular" w:cs="Times New Roman Regular"/>
          <w:kern w:val="0"/>
          <w:sz w:val="24"/>
          <w:szCs w:val="28"/>
          <w:vertAlign w:val="superscript"/>
        </w:rPr>
        <w:t>*</w:t>
      </w:r>
      <w:commentRangeEnd w:id="3"/>
      <w:r>
        <w:rPr>
          <w:rStyle w:val="af"/>
        </w:rPr>
        <w:commentReference w:id="3"/>
      </w:r>
      <w:commentRangeEnd w:id="4"/>
      <w:r>
        <w:rPr>
          <w:rStyle w:val="af"/>
        </w:rPr>
        <w:commentReference w:id="4"/>
      </w:r>
      <w:r>
        <w:rPr>
          <w:rStyle w:val="af"/>
          <w:rFonts w:hint="eastAsia"/>
        </w:rPr>
        <w:t xml:space="preserve"> </w:t>
      </w:r>
      <w:r w:rsidR="00BE1AAC">
        <w:rPr>
          <w:rStyle w:val="af"/>
          <w:rFonts w:hint="eastAsia"/>
        </w:rPr>
        <w:t xml:space="preserve"> </w:t>
      </w:r>
      <w:r w:rsidR="00BE1AAC" w:rsidRPr="00BE1AAC">
        <w:rPr>
          <w:rFonts w:ascii="Helvetica Neue" w:eastAsia="楷体" w:hAnsi="Helvetica Neue" w:cs="Times New Roman" w:hint="eastAsia"/>
          <w:kern w:val="0"/>
          <w:sz w:val="24"/>
          <w:szCs w:val="28"/>
        </w:rPr>
        <w:t>李某某</w:t>
      </w:r>
      <w:r w:rsidR="00BE1AAC" w:rsidRPr="00BE1AAC">
        <w:rPr>
          <w:rFonts w:ascii="Times New Roman Regular" w:eastAsia="楷体" w:hAnsi="Times New Roman Regular" w:cs="Times New Roman Regular" w:hint="eastAsia"/>
          <w:sz w:val="24"/>
          <w:vertAlign w:val="superscript"/>
        </w:rPr>
        <w:footnoteReference w:customMarkFollows="1" w:id="1"/>
        <w:t>**</w:t>
      </w:r>
    </w:p>
    <w:p w14:paraId="74C15856" w14:textId="77777777" w:rsidR="00FD0A0E" w:rsidRDefault="00FD0A0E">
      <w:pPr>
        <w:widowControl w:val="0"/>
        <w:ind w:firstLine="0"/>
        <w:jc w:val="center"/>
        <w:rPr>
          <w:rFonts w:ascii="Helvetica Neue" w:eastAsia="楷体" w:hAnsi="Helvetica Neue" w:cs="Times New Roman" w:hint="eastAsia"/>
          <w:kern w:val="0"/>
          <w:sz w:val="24"/>
          <w:szCs w:val="28"/>
        </w:rPr>
      </w:pPr>
    </w:p>
    <w:p w14:paraId="3866C1BF" w14:textId="73EBF821" w:rsidR="00FD0A0E" w:rsidRDefault="00165D07">
      <w:pPr>
        <w:widowControl w:val="0"/>
        <w:rPr>
          <w:rFonts w:ascii=".pingfang sc" w:eastAsia="楷体" w:hAnsi=".pingfang sc" w:cs="Times New Roman"/>
          <w:kern w:val="0"/>
          <w:szCs w:val="28"/>
        </w:rPr>
      </w:pPr>
      <w:r>
        <w:rPr>
          <w:rFonts w:ascii=".pingfang sc" w:eastAsia="楷体" w:hAnsi=".pingfang sc" w:cs="Times New Roman" w:hint="eastAsia"/>
          <w:b/>
          <w:bCs/>
          <w:kern w:val="0"/>
          <w:szCs w:val="28"/>
        </w:rPr>
        <w:t>摘要</w:t>
      </w:r>
      <w:commentRangeStart w:id="5"/>
      <w:commentRangeStart w:id="6"/>
      <w:r w:rsidR="00000000">
        <w:rPr>
          <w:rFonts w:ascii=".pingfang sc" w:eastAsia="楷体" w:hAnsi=".pingfang sc" w:cs="Times New Roman" w:hint="eastAsia"/>
          <w:kern w:val="0"/>
          <w:szCs w:val="28"/>
        </w:rPr>
        <w:t>：尽管我国刑事诉讼逐步重视有效辩护与未成年人特殊保护，但未成年人案件中的有效辩护问题尚未得到充分讨论。有效辩护理念在未成年人刑事司法中的理念引入与经验借鉴应当参照美国有效辩护制度、</w:t>
      </w:r>
      <w:r w:rsidR="00000000">
        <w:rPr>
          <w:rFonts w:ascii=".pingfang sc" w:eastAsia="楷体" w:hAnsi=".pingfang sc" w:cs="Times New Roman" w:hint="eastAsia"/>
          <w:kern w:val="0"/>
          <w:szCs w:val="28"/>
        </w:rPr>
        <w:t>Burger v. Kemp</w:t>
      </w:r>
      <w:r w:rsidR="00000000">
        <w:rPr>
          <w:rFonts w:ascii=".pingfang sc" w:eastAsia="楷体" w:hAnsi=".pingfang sc" w:cs="Times New Roman" w:hint="eastAsia"/>
          <w:kern w:val="0"/>
          <w:szCs w:val="28"/>
        </w:rPr>
        <w:t>案、欧洲地区执业指南等，在最有利于未成年人原则之价值指引下，提出我国涉罪未成年人有效辩护的运行原理应当从辩护行为合作化、社会化和精细化及辩护结果关注转处与非羁押等展开，并从上述视角归纳有效辩护实现的具体路径。</w:t>
      </w:r>
    </w:p>
    <w:p w14:paraId="59238272" w14:textId="77777777" w:rsidR="00FD0A0E" w:rsidRDefault="00000000">
      <w:pPr>
        <w:widowControl w:val="0"/>
        <w:rPr>
          <w:rFonts w:ascii=".pingfang sc" w:eastAsia="楷体" w:hAnsi=".pingfang sc" w:cs="Times New Roman"/>
          <w:kern w:val="0"/>
          <w:szCs w:val="28"/>
        </w:rPr>
      </w:pPr>
      <w:r>
        <w:rPr>
          <w:rFonts w:ascii=".pingfang sc" w:eastAsia="楷体" w:hAnsi=".pingfang sc" w:cs="Times New Roman" w:hint="eastAsia"/>
          <w:b/>
          <w:bCs/>
          <w:kern w:val="0"/>
          <w:szCs w:val="28"/>
        </w:rPr>
        <w:t>关键词：</w:t>
      </w:r>
      <w:r>
        <w:rPr>
          <w:rFonts w:ascii=".pingfang sc" w:eastAsia="楷体" w:hAnsi=".pingfang sc" w:cs="Times New Roman" w:hint="eastAsia"/>
          <w:kern w:val="0"/>
          <w:szCs w:val="28"/>
        </w:rPr>
        <w:t>涉罪未成年人</w:t>
      </w:r>
      <w:r>
        <w:rPr>
          <w:rFonts w:ascii=".pingfang sc" w:eastAsia="楷体" w:hAnsi=".pingfang sc" w:cs="Times New Roman" w:hint="eastAsia"/>
          <w:kern w:val="0"/>
          <w:szCs w:val="28"/>
        </w:rPr>
        <w:t xml:space="preserve">  </w:t>
      </w:r>
      <w:r>
        <w:rPr>
          <w:rFonts w:ascii=".pingfang sc" w:eastAsia="楷体" w:hAnsi=".pingfang sc" w:cs="Times New Roman" w:hint="eastAsia"/>
          <w:kern w:val="0"/>
          <w:szCs w:val="28"/>
        </w:rPr>
        <w:t>有效辩护</w:t>
      </w:r>
      <w:r>
        <w:rPr>
          <w:rFonts w:ascii=".pingfang sc" w:eastAsia="楷体" w:hAnsi=".pingfang sc" w:cs="Times New Roman" w:hint="eastAsia"/>
          <w:kern w:val="0"/>
          <w:szCs w:val="28"/>
        </w:rPr>
        <w:t xml:space="preserve">  </w:t>
      </w:r>
      <w:r>
        <w:rPr>
          <w:rFonts w:ascii=".pingfang sc" w:eastAsia="楷体" w:hAnsi=".pingfang sc" w:cs="Times New Roman" w:hint="eastAsia"/>
          <w:kern w:val="0"/>
          <w:szCs w:val="28"/>
        </w:rPr>
        <w:t>法律援助</w:t>
      </w:r>
      <w:r>
        <w:rPr>
          <w:rFonts w:ascii=".pingfang sc" w:eastAsia="楷体" w:hAnsi=".pingfang sc" w:cs="Times New Roman" w:hint="eastAsia"/>
          <w:kern w:val="0"/>
          <w:szCs w:val="28"/>
        </w:rPr>
        <w:t xml:space="preserve">  </w:t>
      </w:r>
      <w:r>
        <w:rPr>
          <w:rFonts w:ascii=".pingfang sc" w:eastAsia="楷体" w:hAnsi=".pingfang sc" w:cs="Times New Roman" w:hint="eastAsia"/>
          <w:kern w:val="0"/>
          <w:szCs w:val="28"/>
        </w:rPr>
        <w:t>最有利于未成年人原则</w:t>
      </w:r>
      <w:commentRangeEnd w:id="5"/>
      <w:r>
        <w:rPr>
          <w:rStyle w:val="af"/>
        </w:rPr>
        <w:commentReference w:id="5"/>
      </w:r>
      <w:commentRangeEnd w:id="6"/>
      <w:r w:rsidR="00C3547D">
        <w:rPr>
          <w:rStyle w:val="af"/>
        </w:rPr>
        <w:commentReference w:id="6"/>
      </w:r>
    </w:p>
    <w:p w14:paraId="425022E2" w14:textId="77777777" w:rsidR="00FD0A0E" w:rsidRDefault="00FD0A0E">
      <w:pPr>
        <w:widowControl w:val="0"/>
        <w:rPr>
          <w:rFonts w:ascii=".pingfang sc" w:eastAsia="楷体" w:hAnsi=".pingfang sc" w:cs="Times New Roman"/>
          <w:kern w:val="0"/>
          <w:szCs w:val="28"/>
        </w:rPr>
      </w:pPr>
    </w:p>
    <w:p w14:paraId="17571F48" w14:textId="77777777" w:rsidR="00FD0A0E" w:rsidRDefault="00000000">
      <w:pPr>
        <w:widowControl w:val="0"/>
        <w:spacing w:before="240" w:after="240"/>
        <w:ind w:firstLine="0"/>
        <w:jc w:val="center"/>
        <w:rPr>
          <w:rFonts w:ascii="黑体" w:eastAsia="黑体" w:hAnsi="黑体" w:cs="Times New Roman" w:hint="eastAsia"/>
          <w:b/>
          <w:bCs/>
          <w:sz w:val="24"/>
          <w:szCs w:val="32"/>
          <w:lang w:eastAsia="zh-Hans"/>
        </w:rPr>
      </w:pPr>
      <w:commentRangeStart w:id="7"/>
      <w:r>
        <w:rPr>
          <w:rFonts w:ascii="黑体" w:eastAsia="黑体" w:hAnsi="黑体" w:cs="Times New Roman" w:hint="eastAsia"/>
          <w:b/>
          <w:bCs/>
          <w:sz w:val="24"/>
          <w:szCs w:val="32"/>
          <w:lang w:eastAsia="zh-Hans"/>
        </w:rPr>
        <w:t>一、问题的提出</w:t>
      </w:r>
      <w:commentRangeEnd w:id="7"/>
      <w:r>
        <w:rPr>
          <w:rStyle w:val="af"/>
        </w:rPr>
        <w:commentReference w:id="7"/>
      </w:r>
    </w:p>
    <w:p w14:paraId="040D79CD" w14:textId="4B52149B" w:rsidR="00FD0A0E" w:rsidRPr="00C3547D" w:rsidRDefault="00000000" w:rsidP="00C3547D">
      <w:pPr>
        <w:widowControl w:val="0"/>
        <w:rPr>
          <w:rFonts w:ascii=".pingfang sc" w:eastAsia="宋体" w:hAnsi=".pingfang sc" w:cs="Times New Roman"/>
          <w:szCs w:val="28"/>
        </w:rPr>
      </w:pPr>
      <w:commentRangeStart w:id="8"/>
      <w:r>
        <w:rPr>
          <w:rFonts w:ascii="Calibri" w:eastAsia="宋体" w:hAnsi="Calibri" w:cs="Times New Roman" w:hint="eastAsia"/>
        </w:rPr>
        <w:t>随着我国刑事诉讼构造对控辩平等的重视与不断发展，以美国有效辩护理论为参考，有效辩护问题近年来备受学界关注。在关于有效辩护相关问题的讨论中，涉及未成年人案件有效辩护的讨论不多，这可能有两方面原因：一方面，国内对有效辩护的探讨以美国有效辩护制度作为开端，而美国推动制度建立的案例中，只有</w:t>
      </w:r>
      <w:r>
        <w:rPr>
          <w:rFonts w:ascii="Calibri" w:eastAsia="宋体" w:hAnsi="Calibri" w:cs="Times New Roman" w:hint="eastAsia"/>
        </w:rPr>
        <w:t>Burger v. Kemp</w:t>
      </w:r>
      <w:r>
        <w:rPr>
          <w:rFonts w:ascii="Calibri" w:eastAsia="宋体" w:hAnsi="Calibri" w:cs="Times New Roman" w:hint="eastAsia"/>
        </w:rPr>
        <w:t>案是“未成年人涉罪并讨论是否属于无效辩护</w:t>
      </w:r>
      <w:commentRangeStart w:id="9"/>
      <w:r>
        <w:rPr>
          <w:rFonts w:ascii="Calibri" w:eastAsia="宋体" w:hAnsi="Calibri" w:cs="Times New Roman" w:hint="eastAsia"/>
        </w:rPr>
        <w:t>的”，</w:t>
      </w:r>
      <w:r>
        <w:rPr>
          <w:rFonts w:ascii="宋体" w:eastAsia="宋体" w:hAnsi="宋体" w:cs="宋体" w:hint="eastAsia"/>
          <w:sz w:val="18"/>
          <w:szCs w:val="21"/>
          <w:vertAlign w:val="superscript"/>
        </w:rPr>
        <w:footnoteReference w:id="2"/>
      </w:r>
      <w:proofErr w:type="gramStart"/>
      <w:r>
        <w:rPr>
          <w:rFonts w:ascii="Calibri" w:eastAsia="宋体" w:hAnsi="Calibri" w:cs="Times New Roman" w:hint="eastAsia"/>
        </w:rPr>
        <w:t>但涉</w:t>
      </w:r>
      <w:commentRangeEnd w:id="9"/>
      <w:proofErr w:type="gramEnd"/>
      <w:r>
        <w:rPr>
          <w:rStyle w:val="af"/>
        </w:rPr>
        <w:commentReference w:id="9"/>
      </w:r>
      <w:r>
        <w:rPr>
          <w:rFonts w:ascii="Calibri" w:eastAsia="宋体" w:hAnsi="Calibri" w:cs="Times New Roman" w:hint="eastAsia"/>
        </w:rPr>
        <w:t>有效辩护的研究中只有极少数探讨了</w:t>
      </w:r>
      <w:r>
        <w:rPr>
          <w:rFonts w:ascii="Calibri" w:eastAsia="宋体" w:hAnsi="Calibri" w:cs="Times New Roman" w:hint="eastAsia"/>
        </w:rPr>
        <w:t>Burger v. Kemp</w:t>
      </w:r>
      <w:r>
        <w:rPr>
          <w:rFonts w:ascii="Calibri" w:eastAsia="宋体" w:hAnsi="Calibri" w:cs="Times New Roman" w:hint="eastAsia"/>
        </w:rPr>
        <w:t>案中“律师诉讼策略选择是否构成无效辩护”，尚未关注到</w:t>
      </w:r>
      <w:r>
        <w:rPr>
          <w:rFonts w:ascii="Calibri" w:eastAsia="宋体" w:hAnsi="Calibri" w:cs="Times New Roman" w:hint="eastAsia"/>
        </w:rPr>
        <w:t>Burger v. Kemp</w:t>
      </w:r>
      <w:r>
        <w:rPr>
          <w:rFonts w:ascii="Calibri" w:eastAsia="宋体" w:hAnsi="Calibri" w:cs="Times New Roman" w:hint="eastAsia"/>
        </w:rPr>
        <w:t>案</w:t>
      </w:r>
      <w:proofErr w:type="gramStart"/>
      <w:r>
        <w:rPr>
          <w:rFonts w:ascii="Calibri" w:eastAsia="宋体" w:hAnsi="Calibri" w:cs="Times New Roman" w:hint="eastAsia"/>
        </w:rPr>
        <w:t>与涉罪</w:t>
      </w:r>
      <w:proofErr w:type="gramEnd"/>
      <w:r>
        <w:rPr>
          <w:rFonts w:ascii="Calibri" w:eastAsia="宋体" w:hAnsi="Calibri" w:cs="Times New Roman" w:hint="eastAsia"/>
        </w:rPr>
        <w:t>未成年人有效辩护之关联。另一方面，与认罪认罚从宽制度、值班律师制度、死刑案件等争议颇大、严重危及公平正义的实践痛点相比，强调“感化、教育、矫治”以及特殊保护的未成年人司法似乎对“教育”“保护”的需求高于“控辩平等”，因此，对有效辩护问题讨论的急迫性似乎不高。</w:t>
      </w:r>
      <w:commentRangeEnd w:id="8"/>
      <w:r>
        <w:rPr>
          <w:rStyle w:val="af"/>
        </w:rPr>
        <w:commentReference w:id="8"/>
      </w:r>
    </w:p>
    <w:p w14:paraId="3197A167" w14:textId="68B4125D" w:rsidR="00FD0A0E" w:rsidRDefault="00000000">
      <w:pPr>
        <w:widowControl w:val="0"/>
        <w:rPr>
          <w:rFonts w:ascii="Calibri" w:eastAsia="宋体" w:hAnsi="Calibri" w:cs="Times New Roman"/>
        </w:rPr>
      </w:pPr>
      <w:r>
        <w:rPr>
          <w:rFonts w:ascii="Calibri" w:eastAsia="宋体" w:hAnsi="Calibri" w:cs="Times New Roman" w:hint="eastAsia"/>
        </w:rPr>
        <w:t>实际上，学界关于有效辩护的阶段性研究重点亦体现了对未成年人刑事司法中有效辩护专门化研究的必要性。有效辩护相关研究按照时间发展可以分为三个阶段：第一阶段表现为总体介绍，主要集中在引入美国有效辩护制度、国际刑事司法准则有效辩护原则，通过分析</w:t>
      </w:r>
      <w:r>
        <w:rPr>
          <w:rFonts w:ascii="Calibri" w:eastAsia="宋体" w:hAnsi="Calibri" w:cs="Times New Roman" w:hint="eastAsia"/>
        </w:rPr>
        <w:lastRenderedPageBreak/>
        <w:t>其制度发展过程、功能、判断标准等，为我国改善辩护不力现状及改革刑事诉讼构造提供借</w:t>
      </w:r>
      <w:commentRangeStart w:id="10"/>
      <w:r>
        <w:rPr>
          <w:rFonts w:ascii="Calibri" w:eastAsia="宋体" w:hAnsi="Calibri" w:cs="Times New Roman" w:hint="eastAsia"/>
        </w:rPr>
        <w:t>鉴；</w:t>
      </w:r>
      <w:r>
        <w:rPr>
          <w:rFonts w:ascii="宋体" w:eastAsia="宋体" w:hAnsi="宋体" w:cs="宋体" w:hint="eastAsia"/>
          <w:sz w:val="18"/>
          <w:szCs w:val="21"/>
          <w:vertAlign w:val="superscript"/>
        </w:rPr>
        <w:footnoteReference w:id="3"/>
      </w:r>
      <w:r>
        <w:rPr>
          <w:rFonts w:ascii="Calibri" w:eastAsia="宋体" w:hAnsi="Calibri" w:cs="Times New Roman" w:hint="eastAsia"/>
        </w:rPr>
        <w:t>第二</w:t>
      </w:r>
      <w:commentRangeEnd w:id="10"/>
      <w:r>
        <w:rPr>
          <w:rStyle w:val="af"/>
        </w:rPr>
        <w:commentReference w:id="10"/>
      </w:r>
      <w:r>
        <w:rPr>
          <w:rFonts w:ascii="Calibri" w:eastAsia="宋体" w:hAnsi="Calibri" w:cs="Times New Roman" w:hint="eastAsia"/>
        </w:rPr>
        <w:t>阶段表现为国外借鉴</w:t>
      </w:r>
      <w:proofErr w:type="gramStart"/>
      <w:r>
        <w:rPr>
          <w:rFonts w:ascii="Calibri" w:eastAsia="宋体" w:hAnsi="Calibri" w:cs="Times New Roman" w:hint="eastAsia"/>
        </w:rPr>
        <w:t>与类案应用</w:t>
      </w:r>
      <w:proofErr w:type="gramEnd"/>
      <w:r>
        <w:rPr>
          <w:rFonts w:ascii="Calibri" w:eastAsia="宋体" w:hAnsi="Calibri" w:cs="Times New Roman" w:hint="eastAsia"/>
        </w:rPr>
        <w:t>，在第一阶段对国外、国际有效辩护相关制度介绍之基础上，衍生出具体制度应用之思考，相关讨论集中在死刑案件中，这可能与美国主要是在死刑案件的判例中推动有效辩护的发</w:t>
      </w:r>
      <w:commentRangeStart w:id="11"/>
      <w:r>
        <w:rPr>
          <w:rFonts w:ascii="Calibri" w:eastAsia="宋体" w:hAnsi="Calibri" w:cs="Times New Roman" w:hint="eastAsia"/>
        </w:rPr>
        <w:t>展有关；</w:t>
      </w:r>
      <w:r>
        <w:rPr>
          <w:rFonts w:ascii="宋体" w:eastAsia="宋体" w:hAnsi="宋体" w:cs="宋体" w:hint="eastAsia"/>
          <w:sz w:val="18"/>
          <w:szCs w:val="21"/>
          <w:vertAlign w:val="superscript"/>
        </w:rPr>
        <w:footnoteReference w:id="4"/>
      </w:r>
      <w:r>
        <w:rPr>
          <w:rFonts w:ascii="Calibri" w:eastAsia="宋体" w:hAnsi="Calibri" w:cs="Times New Roman" w:hint="eastAsia"/>
        </w:rPr>
        <w:t>第三</w:t>
      </w:r>
      <w:commentRangeEnd w:id="11"/>
      <w:r w:rsidR="00937057">
        <w:rPr>
          <w:rStyle w:val="af"/>
        </w:rPr>
        <w:commentReference w:id="11"/>
      </w:r>
      <w:r>
        <w:rPr>
          <w:rFonts w:ascii="Calibri" w:eastAsia="宋体" w:hAnsi="Calibri" w:cs="Times New Roman" w:hint="eastAsia"/>
        </w:rPr>
        <w:t>阶段为理论反思与多制度借鉴并存，一方面，一部分学者开始从理论层面对“有效”的内涵展开讨论，相关分歧主要集中在有效性是否通过“效果”</w:t>
      </w:r>
      <w:commentRangeStart w:id="12"/>
      <w:r>
        <w:rPr>
          <w:rFonts w:ascii="Calibri" w:eastAsia="宋体" w:hAnsi="Calibri" w:cs="Times New Roman" w:hint="eastAsia"/>
        </w:rPr>
        <w:t>体现；</w:t>
      </w:r>
      <w:r>
        <w:rPr>
          <w:rFonts w:ascii="宋体" w:eastAsia="宋体" w:hAnsi="宋体" w:cs="宋体" w:hint="eastAsia"/>
          <w:sz w:val="18"/>
          <w:szCs w:val="21"/>
          <w:vertAlign w:val="superscript"/>
        </w:rPr>
        <w:footnoteReference w:id="5"/>
      </w:r>
      <w:r>
        <w:rPr>
          <w:rFonts w:ascii="Calibri" w:eastAsia="宋体" w:hAnsi="Calibri" w:cs="Times New Roman" w:hint="eastAsia"/>
        </w:rPr>
        <w:t>另一</w:t>
      </w:r>
      <w:commentRangeEnd w:id="12"/>
      <w:r w:rsidR="00937057">
        <w:rPr>
          <w:rStyle w:val="af"/>
        </w:rPr>
        <w:commentReference w:id="12"/>
      </w:r>
      <w:r>
        <w:rPr>
          <w:rFonts w:ascii="Calibri" w:eastAsia="宋体" w:hAnsi="Calibri" w:cs="Times New Roman" w:hint="eastAsia"/>
        </w:rPr>
        <w:t>方面，随着以审判为中心的刑事诉讼制度改革的发展以及认罪认罚从宽、法律援助、值班律师等制度的建立与完善，无论是诉讼构造层面还是制度应用层面，对辩护有效性的需求都大幅提升，这也促成了相关学者在认罪认罚、法律援助、值班律师等层面对“有效辩护”的理论思</w:t>
      </w:r>
      <w:commentRangeStart w:id="13"/>
      <w:r>
        <w:rPr>
          <w:rFonts w:ascii="Calibri" w:eastAsia="宋体" w:hAnsi="Calibri" w:cs="Times New Roman" w:hint="eastAsia"/>
        </w:rPr>
        <w:t>考。</w:t>
      </w:r>
      <w:r>
        <w:rPr>
          <w:rFonts w:ascii="宋体" w:eastAsia="宋体" w:hAnsi="宋体" w:cs="宋体" w:hint="eastAsia"/>
          <w:sz w:val="18"/>
          <w:szCs w:val="21"/>
          <w:vertAlign w:val="superscript"/>
        </w:rPr>
        <w:footnoteReference w:id="6"/>
      </w:r>
      <w:r>
        <w:rPr>
          <w:rFonts w:ascii="Calibri" w:eastAsia="宋体" w:hAnsi="Calibri" w:cs="Times New Roman" w:hint="eastAsia"/>
        </w:rPr>
        <w:t>从</w:t>
      </w:r>
      <w:r>
        <w:rPr>
          <w:rFonts w:ascii="Calibri" w:eastAsia="宋体" w:hAnsi="Calibri" w:cs="Times New Roman" w:hint="eastAsia"/>
        </w:rPr>
        <w:t>2</w:t>
      </w:r>
      <w:commentRangeEnd w:id="13"/>
      <w:r w:rsidR="00937057">
        <w:rPr>
          <w:rStyle w:val="af"/>
        </w:rPr>
        <w:commentReference w:id="13"/>
      </w:r>
      <w:r>
        <w:rPr>
          <w:rFonts w:ascii="Calibri" w:eastAsia="宋体" w:hAnsi="Calibri" w:cs="Times New Roman" w:hint="eastAsia"/>
        </w:rPr>
        <w:t>000</w:t>
      </w:r>
      <w:r>
        <w:rPr>
          <w:rFonts w:ascii="Calibri" w:eastAsia="宋体" w:hAnsi="Calibri" w:cs="Times New Roman" w:hint="eastAsia"/>
        </w:rPr>
        <w:t>年至今，相关研究的愈演愈烈与上述发展趋势一方面凸显了有效辩护在刑事诉讼理论与制度中的重要程度，另一方面也代表着不同制度、不同案件需要对有效辩护理论</w:t>
      </w:r>
      <w:proofErr w:type="gramStart"/>
      <w:r>
        <w:rPr>
          <w:rFonts w:ascii="Calibri" w:eastAsia="宋体" w:hAnsi="Calibri" w:cs="Times New Roman" w:hint="eastAsia"/>
        </w:rPr>
        <w:t>作出</w:t>
      </w:r>
      <w:proofErr w:type="gramEnd"/>
      <w:r>
        <w:rPr>
          <w:rFonts w:ascii="Calibri" w:eastAsia="宋体" w:hAnsi="Calibri" w:cs="Times New Roman" w:hint="eastAsia"/>
        </w:rPr>
        <w:t>不同的阐释，以类型化、差异化的视角研究有效辩护是趋势，也是理论指导实践的必要。在未成年人案件与成人案件中，辩护人都是“被追诉人合法权益的专门维护者”，</w:t>
      </w:r>
      <w:proofErr w:type="gramStart"/>
      <w:r>
        <w:rPr>
          <w:rFonts w:ascii="Calibri" w:eastAsia="宋体" w:hAnsi="Calibri" w:cs="Times New Roman" w:hint="eastAsia"/>
        </w:rPr>
        <w:t>但涉罪</w:t>
      </w:r>
      <w:proofErr w:type="gramEnd"/>
      <w:r>
        <w:rPr>
          <w:rFonts w:ascii="Calibri" w:eastAsia="宋体" w:hAnsi="Calibri" w:cs="Times New Roman" w:hint="eastAsia"/>
        </w:rPr>
        <w:t>未成年人是刑事诉讼程序中的一个特殊群体，对其进行特殊、有效的保护是国际社会的普遍共</w:t>
      </w:r>
      <w:commentRangeStart w:id="14"/>
      <w:r>
        <w:rPr>
          <w:rFonts w:ascii="Calibri" w:eastAsia="宋体" w:hAnsi="Calibri" w:cs="Times New Roman" w:hint="eastAsia"/>
        </w:rPr>
        <w:t>识。</w:t>
      </w:r>
      <w:r>
        <w:rPr>
          <w:rFonts w:ascii="宋体" w:eastAsia="宋体" w:hAnsi="宋体" w:cs="宋体" w:hint="eastAsia"/>
          <w:sz w:val="18"/>
          <w:szCs w:val="21"/>
          <w:vertAlign w:val="superscript"/>
        </w:rPr>
        <w:footnoteReference w:id="7"/>
      </w:r>
      <w:r>
        <w:rPr>
          <w:rFonts w:ascii="Calibri" w:eastAsia="宋体" w:hAnsi="Calibri" w:cs="Times New Roman" w:hint="eastAsia"/>
        </w:rPr>
        <w:t>因此</w:t>
      </w:r>
      <w:commentRangeEnd w:id="14"/>
      <w:r>
        <w:rPr>
          <w:rStyle w:val="af"/>
        </w:rPr>
        <w:commentReference w:id="14"/>
      </w:r>
      <w:r>
        <w:rPr>
          <w:rFonts w:ascii="Calibri" w:eastAsia="宋体" w:hAnsi="Calibri" w:cs="Times New Roman" w:hint="eastAsia"/>
        </w:rPr>
        <w:t>，理念的差异对涉罪未成年人有效辩护的专门研究提出了要求。</w:t>
      </w:r>
    </w:p>
    <w:p w14:paraId="2117AB23" w14:textId="77777777" w:rsidR="00FD0A0E" w:rsidRDefault="00000000">
      <w:pPr>
        <w:widowControl w:val="0"/>
        <w:rPr>
          <w:rFonts w:ascii="Calibri" w:eastAsia="宋体" w:hAnsi="Calibri" w:cs="Times New Roman"/>
        </w:rPr>
      </w:pPr>
      <w:r>
        <w:rPr>
          <w:rFonts w:ascii="Calibri" w:eastAsia="宋体" w:hAnsi="Calibri" w:cs="Times New Roman" w:hint="eastAsia"/>
        </w:rPr>
        <w:t>因此，本文将以贯彻有效辩护理念之美国、欧洲等国家及地区涉罪未成年人有效辩护理念、现实经验作为研究参照，以辩护行为和辩护结果为分类明确实现我国涉罪未成年人有效辩护的运行原理，并针对实践痛点提出具体辩护路径，以期解决实践中辩护有效性不足问题，推动中国特色未成年人司法制度进一步发展。</w:t>
      </w:r>
    </w:p>
    <w:p w14:paraId="5752BE87" w14:textId="77777777" w:rsidR="00FD0A0E" w:rsidRDefault="00000000">
      <w:pPr>
        <w:widowControl w:val="0"/>
        <w:spacing w:before="240" w:after="240"/>
        <w:ind w:firstLine="0"/>
        <w:jc w:val="center"/>
        <w:rPr>
          <w:rFonts w:ascii="黑体" w:eastAsia="黑体" w:hAnsi="黑体" w:cs="Times New Roman" w:hint="eastAsia"/>
          <w:b/>
          <w:bCs/>
          <w:sz w:val="24"/>
          <w:szCs w:val="32"/>
          <w:lang w:eastAsia="zh-Hans"/>
        </w:rPr>
      </w:pPr>
      <w:r>
        <w:rPr>
          <w:rFonts w:ascii="黑体" w:eastAsia="黑体" w:hAnsi="黑体" w:cs="Times New Roman" w:hint="eastAsia"/>
          <w:b/>
          <w:bCs/>
          <w:sz w:val="24"/>
          <w:szCs w:val="32"/>
          <w:lang w:eastAsia="zh-Hans"/>
        </w:rPr>
        <w:t>三、涉罪未成年人有效辩护的运行原理</w:t>
      </w:r>
    </w:p>
    <w:p w14:paraId="06A0AE14" w14:textId="77777777" w:rsidR="00FD0A0E" w:rsidRDefault="00000000">
      <w:pPr>
        <w:widowControl w:val="0"/>
        <w:rPr>
          <w:rFonts w:ascii="Calibri" w:eastAsia="宋体" w:hAnsi="Calibri" w:cs="Times New Roman"/>
        </w:rPr>
      </w:pPr>
      <w:r>
        <w:rPr>
          <w:rFonts w:ascii="Calibri" w:eastAsia="宋体" w:hAnsi="Calibri" w:cs="Times New Roman" w:hint="eastAsia"/>
        </w:rPr>
        <w:t>从“纸面上的法”到“法的实践”，需要特别关注未成年人司法保护的特殊制度和特别保护措施</w:t>
      </w:r>
      <w:commentRangeStart w:id="15"/>
      <w:r>
        <w:rPr>
          <w:rFonts w:ascii="Calibri" w:eastAsia="宋体" w:hAnsi="Calibri" w:cs="Times New Roman" w:hint="eastAsia"/>
        </w:rPr>
        <w:t>的实际成效。就阶段性司法实践来看，确实存在学界广泛关注的未成年人特别赋权的形式化问题。</w:t>
      </w:r>
      <w:r>
        <w:rPr>
          <w:rFonts w:ascii="微软雅黑" w:eastAsia="微软雅黑" w:hAnsi="微软雅黑" w:cs="微软雅黑" w:hint="eastAsia"/>
          <w:sz w:val="18"/>
          <w:szCs w:val="21"/>
          <w:vertAlign w:val="superscript"/>
        </w:rPr>
        <w:footnoteReference w:id="8"/>
      </w:r>
      <w:r>
        <w:rPr>
          <w:rFonts w:ascii="Calibri" w:eastAsia="宋体" w:hAnsi="Calibri" w:cs="Times New Roman" w:hint="eastAsia"/>
        </w:rPr>
        <w:t xml:space="preserve"> </w:t>
      </w:r>
      <w:commentRangeEnd w:id="15"/>
      <w:r w:rsidR="00937057">
        <w:rPr>
          <w:rStyle w:val="af"/>
        </w:rPr>
        <w:commentReference w:id="15"/>
      </w:r>
    </w:p>
    <w:p w14:paraId="55AB1A1D" w14:textId="77777777" w:rsidR="00FD0A0E" w:rsidRDefault="00000000">
      <w:pPr>
        <w:widowControl w:val="0"/>
        <w:spacing w:before="240" w:after="240"/>
        <w:ind w:firstLine="0"/>
        <w:jc w:val="center"/>
        <w:rPr>
          <w:rFonts w:ascii="黑体" w:eastAsia="黑体" w:hAnsi="黑体" w:cs="Times New Roman" w:hint="eastAsia"/>
          <w:b/>
          <w:bCs/>
          <w:sz w:val="24"/>
          <w:szCs w:val="32"/>
        </w:rPr>
      </w:pPr>
      <w:r>
        <w:rPr>
          <w:rFonts w:ascii="黑体" w:eastAsia="黑体" w:hAnsi="黑体" w:cs="Times New Roman" w:hint="eastAsia"/>
          <w:b/>
          <w:bCs/>
          <w:sz w:val="24"/>
          <w:szCs w:val="32"/>
        </w:rPr>
        <w:t>……</w:t>
      </w:r>
    </w:p>
    <w:p w14:paraId="2015A2BA" w14:textId="77777777" w:rsidR="00FD0A0E" w:rsidRDefault="00000000">
      <w:pPr>
        <w:widowControl w:val="0"/>
        <w:ind w:left="420" w:firstLine="0"/>
        <w:rPr>
          <w:rFonts w:ascii="宋体" w:eastAsia="宋体" w:hAnsi="宋体" w:cs="宋体" w:hint="eastAsia"/>
          <w:b/>
        </w:rPr>
      </w:pPr>
      <w:commentRangeStart w:id="16"/>
      <w:r>
        <w:rPr>
          <w:rFonts w:ascii="宋体" w:eastAsia="宋体" w:hAnsi="宋体" w:cs="宋体" w:hint="eastAsia"/>
          <w:b/>
        </w:rPr>
        <w:t>（三）合作化、社会化与精细化是考察辩护行为是否有效的三个维度</w:t>
      </w:r>
      <w:commentRangeEnd w:id="16"/>
      <w:r>
        <w:rPr>
          <w:rStyle w:val="af"/>
        </w:rPr>
        <w:commentReference w:id="16"/>
      </w:r>
    </w:p>
    <w:p w14:paraId="5B1E4C1C" w14:textId="345AB81F" w:rsidR="00937057" w:rsidRDefault="00937057">
      <w:pPr>
        <w:widowControl w:val="0"/>
        <w:rPr>
          <w:rFonts w:ascii="Calibri" w:eastAsia="宋体" w:hAnsi="Calibri" w:cs="Times New Roman"/>
        </w:rPr>
      </w:pPr>
      <w:r>
        <w:rPr>
          <w:rFonts w:ascii="Calibri" w:eastAsia="宋体" w:hAnsi="Calibri" w:cs="Times New Roman" w:hint="eastAsia"/>
        </w:rPr>
        <w:lastRenderedPageBreak/>
        <w:t>……</w:t>
      </w:r>
    </w:p>
    <w:p w14:paraId="79108B64" w14:textId="2F11DB7E" w:rsidR="00FD0A0E" w:rsidRDefault="00000000">
      <w:pPr>
        <w:widowControl w:val="0"/>
        <w:rPr>
          <w:rFonts w:ascii="Calibri" w:eastAsia="宋体" w:hAnsi="Calibri" w:cs="Times New Roman"/>
        </w:rPr>
      </w:pPr>
      <w:r>
        <w:rPr>
          <w:rFonts w:ascii="Calibri" w:eastAsia="宋体" w:hAnsi="Calibri" w:cs="Times New Roman" w:hint="eastAsia"/>
        </w:rPr>
        <w:t>上述三方面变化在为考察辩护行为是否有效提供了指引同时也为合作化、社会化与精细化的实现提供了现实基础，具体而言，对合作化、社会化与精细化的解读包括：</w:t>
      </w:r>
    </w:p>
    <w:p w14:paraId="0AC062A8" w14:textId="77777777" w:rsidR="00FD0A0E" w:rsidRDefault="00000000">
      <w:pPr>
        <w:widowControl w:val="0"/>
        <w:numPr>
          <w:ilvl w:val="0"/>
          <w:numId w:val="1"/>
        </w:numPr>
        <w:rPr>
          <w:rFonts w:ascii="Calibri" w:eastAsia="宋体" w:hAnsi="Calibri" w:cs="Times New Roman"/>
        </w:rPr>
      </w:pPr>
      <w:commentRangeStart w:id="17"/>
      <w:r>
        <w:rPr>
          <w:rFonts w:ascii="Calibri" w:eastAsia="宋体" w:hAnsi="Calibri" w:cs="Times New Roman" w:hint="eastAsia"/>
        </w:rPr>
        <w:t>合作化</w:t>
      </w:r>
      <w:commentRangeEnd w:id="17"/>
      <w:r>
        <w:rPr>
          <w:rStyle w:val="af"/>
        </w:rPr>
        <w:commentReference w:id="17"/>
      </w:r>
    </w:p>
    <w:p w14:paraId="5422A827" w14:textId="77777777" w:rsidR="00FD0A0E" w:rsidRDefault="00000000">
      <w:pPr>
        <w:widowControl w:val="0"/>
        <w:rPr>
          <w:rFonts w:ascii="Calibri" w:eastAsia="宋体" w:hAnsi="Calibri" w:cs="Times New Roman"/>
        </w:rPr>
      </w:pPr>
      <w:r>
        <w:rPr>
          <w:rFonts w:ascii="Calibri" w:eastAsia="宋体" w:hAnsi="Calibri" w:cs="Times New Roman" w:hint="eastAsia"/>
        </w:rPr>
        <w:t>合作化包括两方面内容：一方面体现为辩护律师与公检法、父母、未成年人保护组织、教育工作者、心理咨询师等专业人员建立紧密合作，主要指的是羁押必要性审查、社会调查、心理测评、未成年人转处等程序中辩护律师的参与；另一方面体现为辩护律师与未成年人的合作，主要指的是听取未成年人意见并协助表达未成年人意见。</w:t>
      </w:r>
    </w:p>
    <w:p w14:paraId="47FC7BB4" w14:textId="77777777" w:rsidR="00FD0A0E" w:rsidRDefault="00000000">
      <w:pPr>
        <w:pStyle w:val="a0"/>
        <w:ind w:firstLine="420"/>
      </w:pPr>
      <w:r>
        <w:rPr>
          <w:rFonts w:hint="eastAsia"/>
        </w:rPr>
        <w:t>……</w:t>
      </w:r>
    </w:p>
    <w:p w14:paraId="58DC6C0E" w14:textId="186CA8E8" w:rsidR="00FD0A0E" w:rsidRDefault="00000000">
      <w:pPr>
        <w:widowControl w:val="0"/>
        <w:rPr>
          <w:rFonts w:ascii="Calibri" w:eastAsia="宋体" w:hAnsi="Calibri" w:cs="Times New Roman"/>
        </w:rPr>
      </w:pPr>
      <w:r>
        <w:rPr>
          <w:rFonts w:ascii="Calibri" w:eastAsia="宋体" w:hAnsi="Calibri" w:cs="Times New Roman" w:hint="eastAsia"/>
        </w:rPr>
        <w:t>具体而言，关注涉罪未成年人的转处与非羁押应当充分了解未成年人能够适用的转处制度以及非明文规定的转处机制，例如：实践中有检察官提到，检察院在提前一个未成年人犯罪嫌疑人盗窃案中提前介入侦查，这位涉罪未成年人盗窃无人机并达到定罪量刑标准，检察机关发现这位涉罪未成年人盗窃无人机的目的是科学研究，检察机关在充分了解</w:t>
      </w:r>
      <w:proofErr w:type="gramStart"/>
      <w:r>
        <w:rPr>
          <w:rFonts w:ascii="Calibri" w:eastAsia="宋体" w:hAnsi="Calibri" w:cs="Times New Roman" w:hint="eastAsia"/>
        </w:rPr>
        <w:t>到涉罪</w:t>
      </w:r>
      <w:proofErr w:type="gramEnd"/>
      <w:r>
        <w:rPr>
          <w:rFonts w:ascii="Calibri" w:eastAsia="宋体" w:hAnsi="Calibri" w:cs="Times New Roman" w:hint="eastAsia"/>
        </w:rPr>
        <w:t>未成年人的犯罪动机后，并未将其置入后续刑事诉讼程序，实现了转处。后检察机关对这位未成年人进行了回访调查，发现这位未成年人一直从事无人机对牧场作用的科学研究并在草原进行志愿工作。实际上，律师在侦查阶段介入后，</w:t>
      </w:r>
      <w:proofErr w:type="gramStart"/>
      <w:r>
        <w:rPr>
          <w:rFonts w:ascii="Calibri" w:eastAsia="宋体" w:hAnsi="Calibri" w:cs="Times New Roman" w:hint="eastAsia"/>
        </w:rPr>
        <w:t>亦应当</w:t>
      </w:r>
      <w:proofErr w:type="gramEnd"/>
      <w:r>
        <w:rPr>
          <w:rFonts w:ascii="Calibri" w:eastAsia="宋体" w:hAnsi="Calibri" w:cs="Times New Roman" w:hint="eastAsia"/>
        </w:rPr>
        <w:t>秉持“转处”的目的，与检察机关、公安机关就该名未成年人犯罪动机积极沟通，前置化实现转处目的。除此之外，律师亦可以通过参与、审查社会背景调查报告，在羁押必要性审查、附条件不起诉审查前就事实提出相关辩护意见。</w:t>
      </w:r>
      <w:commentRangeStart w:id="18"/>
      <w:r>
        <w:rPr>
          <w:rFonts w:ascii="Calibri" w:eastAsia="宋体" w:hAnsi="Calibri" w:cs="Times New Roman" w:hint="eastAsia"/>
        </w:rPr>
        <w:t>（涉罪未成年人“有效辩护”的运行原理参见图</w:t>
      </w:r>
      <w:r w:rsidR="00B6479B">
        <w:rPr>
          <w:rFonts w:ascii="Calibri" w:eastAsia="宋体" w:hAnsi="Calibri" w:cs="Times New Roman" w:hint="eastAsia"/>
        </w:rPr>
        <w:t>1</w:t>
      </w:r>
      <w:r>
        <w:rPr>
          <w:rFonts w:ascii="Calibri" w:eastAsia="宋体" w:hAnsi="Calibri" w:cs="Times New Roman" w:hint="eastAsia"/>
        </w:rPr>
        <w:t>）</w:t>
      </w:r>
      <w:commentRangeEnd w:id="18"/>
      <w:r>
        <w:rPr>
          <w:rStyle w:val="af"/>
        </w:rPr>
        <w:commentReference w:id="18"/>
      </w:r>
    </w:p>
    <w:p w14:paraId="17E38523" w14:textId="77777777" w:rsidR="00FD0A0E" w:rsidRDefault="00FD0A0E">
      <w:pPr>
        <w:widowControl w:val="0"/>
        <w:jc w:val="center"/>
        <w:rPr>
          <w:rFonts w:ascii="仿宋" w:eastAsia="仿宋" w:hAnsi="仿宋" w:cs="仿宋" w:hint="eastAsia"/>
          <w:sz w:val="18"/>
          <w:szCs w:val="18"/>
        </w:rPr>
      </w:pPr>
    </w:p>
    <w:p w14:paraId="306BCF35" w14:textId="77777777" w:rsidR="00FD0A0E" w:rsidRDefault="00000000">
      <w:pPr>
        <w:widowControl w:val="0"/>
        <w:spacing w:line="240" w:lineRule="auto"/>
        <w:jc w:val="center"/>
        <w:rPr>
          <w:rFonts w:ascii="仿宋" w:eastAsia="仿宋" w:hAnsi="仿宋" w:cs="仿宋" w:hint="eastAsia"/>
          <w:sz w:val="18"/>
          <w:szCs w:val="18"/>
        </w:rPr>
      </w:pPr>
      <w:r>
        <w:rPr>
          <w:rFonts w:ascii="宋体" w:eastAsia="宋体" w:hAnsi="宋体" w:cs="宋体" w:hint="eastAsia"/>
          <w:noProof/>
          <w:szCs w:val="21"/>
        </w:rPr>
        <w:drawing>
          <wp:inline distT="0" distB="0" distL="0" distR="0" wp14:anchorId="49537455" wp14:editId="21A2B194">
            <wp:extent cx="3419475" cy="1788795"/>
            <wp:effectExtent l="0" t="0" r="0" b="1905"/>
            <wp:docPr id="48" name="图片 48" descr="未成年人辩护组织架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未成年人辩护组织架构"/>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20000" cy="1789200"/>
                    </a:xfrm>
                    <a:prstGeom prst="rect">
                      <a:avLst/>
                    </a:prstGeom>
                  </pic:spPr>
                </pic:pic>
              </a:graphicData>
            </a:graphic>
          </wp:inline>
        </w:drawing>
      </w:r>
    </w:p>
    <w:p w14:paraId="276B5C7C" w14:textId="441F4A83" w:rsidR="00FD0A0E" w:rsidRDefault="00000000">
      <w:pPr>
        <w:widowControl w:val="0"/>
        <w:jc w:val="center"/>
        <w:rPr>
          <w:rFonts w:ascii="黑体" w:eastAsia="黑体" w:hAnsi="黑体" w:cs="Times New Roman" w:hint="eastAsia"/>
          <w:b/>
          <w:bCs/>
          <w:sz w:val="24"/>
          <w:szCs w:val="32"/>
        </w:rPr>
      </w:pPr>
      <w:commentRangeStart w:id="19"/>
      <w:r>
        <w:rPr>
          <w:rFonts w:ascii="仿宋" w:eastAsia="仿宋" w:hAnsi="仿宋" w:cs="仿宋" w:hint="eastAsia"/>
          <w:sz w:val="18"/>
          <w:szCs w:val="18"/>
        </w:rPr>
        <w:t>图</w:t>
      </w:r>
      <w:r w:rsidR="00B6479B">
        <w:rPr>
          <w:rFonts w:ascii="仿宋" w:eastAsia="仿宋" w:hAnsi="仿宋" w:cs="仿宋" w:hint="eastAsia"/>
          <w:sz w:val="18"/>
          <w:szCs w:val="18"/>
        </w:rPr>
        <w:t>1</w:t>
      </w:r>
      <w:r>
        <w:rPr>
          <w:rFonts w:ascii="仿宋" w:eastAsia="仿宋" w:hAnsi="仿宋" w:cs="仿宋" w:hint="eastAsia"/>
          <w:sz w:val="18"/>
          <w:szCs w:val="18"/>
        </w:rPr>
        <w:t>：涉罪未成年人“有效辩护”的运行原理示意图</w:t>
      </w:r>
      <w:commentRangeEnd w:id="19"/>
      <w:r>
        <w:rPr>
          <w:rStyle w:val="af"/>
        </w:rPr>
        <w:commentReference w:id="19"/>
      </w:r>
    </w:p>
    <w:p w14:paraId="2BBB1E31" w14:textId="77777777" w:rsidR="00FD0A0E" w:rsidRDefault="00000000">
      <w:pPr>
        <w:keepNext/>
        <w:widowControl w:val="0"/>
        <w:wordWrap/>
        <w:topLinePunct w:val="0"/>
        <w:ind w:firstLineChars="200"/>
        <w:rPr>
          <w:rFonts w:ascii="宋体" w:eastAsia="宋体" w:hAnsi="宋体" w:cs="宋体" w:hint="eastAsia"/>
          <w:szCs w:val="21"/>
        </w:rPr>
      </w:pPr>
      <w:r>
        <w:rPr>
          <w:rFonts w:ascii="宋体" w:eastAsia="宋体" w:hAnsi="宋体" w:cs="宋体" w:hint="eastAsia"/>
          <w:szCs w:val="21"/>
        </w:rPr>
        <w:t>忽视真正重要的社会调查报告内容的应用等，参与流程化的法庭审理。可以考虑从以下几个方面解决上述问题：第一，筛选致力于未成年人案件办理的专业律师队伍。对标欧洲地区、美国等国家探索建立专业的未成年人律师队伍，可考虑在市级层面与司法局、律师协会等联动，从全市范围内筛选具备公益性并致力于未成年人帮助与挽救的专职律师队伍，或考虑以公益组织先行的方式，以项目方式集合“爱心律师”，通过开展专题培训、个案指导、</w:t>
      </w:r>
      <w:r>
        <w:rPr>
          <w:rFonts w:ascii="宋体" w:eastAsia="宋体" w:hAnsi="宋体" w:cs="宋体" w:hint="eastAsia"/>
          <w:szCs w:val="21"/>
        </w:rPr>
        <w:lastRenderedPageBreak/>
        <w:t>经验交流、小额爱心资助等多种方式提升办理涉未成年人案件律师素质，并给予一定资金支</w:t>
      </w:r>
      <w:commentRangeStart w:id="20"/>
      <w:r>
        <w:rPr>
          <w:rFonts w:ascii="宋体" w:eastAsia="宋体" w:hAnsi="宋体" w:cs="宋体" w:hint="eastAsia"/>
          <w:szCs w:val="21"/>
        </w:rPr>
        <w:t>持。</w:t>
      </w:r>
      <w:r>
        <w:rPr>
          <w:rFonts w:ascii="宋体" w:eastAsia="宋体" w:hAnsi="宋体" w:cs="宋体" w:hint="eastAsia"/>
          <w:szCs w:val="21"/>
          <w:vertAlign w:val="superscript"/>
        </w:rPr>
        <w:footnoteReference w:id="9"/>
      </w:r>
      <w:r>
        <w:rPr>
          <w:rFonts w:ascii="宋体" w:eastAsia="宋体" w:hAnsi="宋体" w:cs="宋体" w:hint="eastAsia"/>
          <w:szCs w:val="21"/>
        </w:rPr>
        <w:t>第二</w:t>
      </w:r>
      <w:commentRangeEnd w:id="20"/>
      <w:r>
        <w:rPr>
          <w:rStyle w:val="af"/>
        </w:rPr>
        <w:commentReference w:id="20"/>
      </w:r>
      <w:r>
        <w:rPr>
          <w:rFonts w:ascii="宋体" w:eastAsia="宋体" w:hAnsi="宋体" w:cs="宋体" w:hint="eastAsia"/>
          <w:szCs w:val="21"/>
        </w:rPr>
        <w:t>，加强培训、会见程序中的严格审查制度。考虑以培训人脸识别、仅由法律援助律师单独会见等方式解决人案分离的问题，并将培训、会见等内容纳入律师考评系统。</w:t>
      </w:r>
    </w:p>
    <w:sectPr w:rsidR="00FD0A0E">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少年司法专委会会务组" w:date="2025-04-02T22:49:00Z" w:initials="会务组">
    <w:p w14:paraId="3ED3D391" w14:textId="77777777" w:rsidR="00FD0A0E" w:rsidRDefault="00000000" w:rsidP="00C3547D">
      <w:pPr>
        <w:pStyle w:val="a4"/>
        <w:ind w:firstLine="0"/>
      </w:pPr>
      <w:r>
        <w:rPr>
          <w:rFonts w:hint="eastAsia"/>
        </w:rPr>
        <w:t>请用</w:t>
      </w:r>
      <w:r>
        <w:rPr>
          <w:rFonts w:hint="eastAsia"/>
          <w:color w:val="3E3E3E"/>
          <w:highlight w:val="white"/>
        </w:rPr>
        <w:t>三号黑体，居中</w:t>
      </w:r>
      <w:r>
        <w:rPr>
          <w:color w:val="3E3E3E"/>
          <w:highlight w:val="white"/>
        </w:rPr>
        <w:t>,</w:t>
      </w:r>
      <w:r>
        <w:rPr>
          <w:rFonts w:hint="eastAsia"/>
          <w:color w:val="3E3E3E"/>
          <w:highlight w:val="white"/>
        </w:rPr>
        <w:t>下空一行。段前段后间距各</w:t>
      </w:r>
      <w:r>
        <w:rPr>
          <w:rFonts w:hint="eastAsia"/>
          <w:color w:val="3E3E3E"/>
          <w:highlight w:val="white"/>
        </w:rPr>
        <w:t>6</w:t>
      </w:r>
      <w:r>
        <w:rPr>
          <w:rFonts w:hint="eastAsia"/>
          <w:color w:val="3E3E3E"/>
          <w:highlight w:val="white"/>
        </w:rPr>
        <w:t>磅，行距固定值</w:t>
      </w:r>
      <w:r>
        <w:rPr>
          <w:rFonts w:hint="eastAsia"/>
          <w:color w:val="3E3E3E"/>
          <w:highlight w:val="white"/>
        </w:rPr>
        <w:t>20</w:t>
      </w:r>
      <w:r>
        <w:rPr>
          <w:rFonts w:hint="eastAsia"/>
          <w:color w:val="3E3E3E"/>
          <w:highlight w:val="white"/>
        </w:rPr>
        <w:t>磅。</w:t>
      </w:r>
    </w:p>
  </w:comment>
  <w:comment w:id="1" w:author="少年司法专委会会务组" w:date="2025-04-02T23:35:00Z" w:initials="会务组">
    <w:p w14:paraId="5BC400D8" w14:textId="77777777" w:rsidR="00B651D9" w:rsidRDefault="00B651D9" w:rsidP="00B651D9">
      <w:pPr>
        <w:pStyle w:val="a4"/>
        <w:ind w:firstLine="0"/>
      </w:pPr>
      <w:r>
        <w:rPr>
          <w:rStyle w:val="af"/>
        </w:rPr>
        <w:annotationRef/>
      </w:r>
      <w:r>
        <w:rPr>
          <w:rFonts w:hint="eastAsia"/>
        </w:rPr>
        <w:t>主标题太长可以换行</w:t>
      </w:r>
    </w:p>
  </w:comment>
  <w:comment w:id="2" w:author="少年司法专委会会务组" w:date="2025-04-02T23:34:00Z" w:initials="会务组">
    <w:p w14:paraId="2C8A765B" w14:textId="266674E6" w:rsidR="00B651D9" w:rsidRDefault="00B651D9" w:rsidP="00165D07">
      <w:pPr>
        <w:pStyle w:val="a4"/>
        <w:ind w:firstLine="0"/>
      </w:pPr>
      <w:r>
        <w:rPr>
          <w:rStyle w:val="af"/>
        </w:rPr>
        <w:annotationRef/>
      </w:r>
      <w:r>
        <w:rPr>
          <w:rFonts w:hint="eastAsia"/>
        </w:rPr>
        <w:t>副标题用黑体小四，右对齐</w:t>
      </w:r>
    </w:p>
  </w:comment>
  <w:comment w:id="3" w:author="少年司法专委会会务组" w:date="2025-04-02T22:48:00Z" w:initials="会务组">
    <w:p w14:paraId="440FC4ED" w14:textId="77777777" w:rsidR="00165D07" w:rsidRDefault="00165D07" w:rsidP="00165D07">
      <w:pPr>
        <w:pStyle w:val="a4"/>
        <w:ind w:firstLine="0"/>
      </w:pPr>
      <w:r>
        <w:rPr>
          <w:rFonts w:hint="eastAsia"/>
        </w:rPr>
        <w:t>请用</w:t>
      </w:r>
      <w:r>
        <w:rPr>
          <w:rFonts w:hint="eastAsia"/>
        </w:rPr>
        <w:t>*</w:t>
      </w:r>
      <w:r>
        <w:rPr>
          <w:rFonts w:hint="eastAsia"/>
        </w:rPr>
        <w:t>加脚注。</w:t>
      </w:r>
      <w:r>
        <w:br/>
      </w:r>
      <w:r>
        <w:rPr>
          <w:rFonts w:hint="eastAsia"/>
        </w:rPr>
        <w:t>二作请用</w:t>
      </w:r>
      <w:r>
        <w:rPr>
          <w:vertAlign w:val="superscript"/>
        </w:rPr>
        <w:t>**</w:t>
      </w:r>
      <w:r>
        <w:rPr>
          <w:rFonts w:hint="eastAsia"/>
        </w:rPr>
        <w:t>相应标注。</w:t>
      </w:r>
      <w:r>
        <w:br/>
      </w:r>
      <w:r>
        <w:rPr>
          <w:rFonts w:hint="eastAsia"/>
        </w:rPr>
        <w:t>一作与二作之间用一个字符的空格隔开。</w:t>
      </w:r>
    </w:p>
    <w:p w14:paraId="4C9CD1E7" w14:textId="77777777" w:rsidR="00165D07" w:rsidRDefault="00165D07" w:rsidP="00165D07">
      <w:pPr>
        <w:pStyle w:val="a4"/>
        <w:ind w:firstLine="0"/>
      </w:pPr>
      <w:r>
        <w:rPr>
          <w:rFonts w:hint="eastAsia"/>
        </w:rPr>
        <w:t>姓名上下各空一行。</w:t>
      </w:r>
    </w:p>
  </w:comment>
  <w:comment w:id="4" w:author="少年司法专委会会务组" w:date="2025-04-02T22:48:00Z" w:initials="会务组">
    <w:p w14:paraId="7B8F40E5" w14:textId="77777777" w:rsidR="00FD0A0E" w:rsidRDefault="00000000" w:rsidP="00165D07">
      <w:pPr>
        <w:pStyle w:val="a4"/>
        <w:ind w:firstLine="0"/>
      </w:pPr>
      <w:r>
        <w:rPr>
          <w:rFonts w:hint="eastAsia"/>
          <w:color w:val="3E3E3E"/>
          <w:highlight w:val="white"/>
        </w:rPr>
        <w:t>脚注写明作者姓名、出生年月、单位、职务职称、手机号码、通信地址、</w:t>
      </w:r>
      <w:r>
        <w:rPr>
          <w:rFonts w:hint="eastAsia"/>
          <w:color w:val="3E3E3E"/>
          <w:highlight w:val="white"/>
        </w:rPr>
        <w:t>E-mail</w:t>
      </w:r>
      <w:r>
        <w:rPr>
          <w:rFonts w:hint="eastAsia"/>
          <w:color w:val="3E3E3E"/>
          <w:highlight w:val="white"/>
        </w:rPr>
        <w:t>地址。</w:t>
      </w:r>
      <w:r>
        <w:t xml:space="preserve"> </w:t>
      </w:r>
    </w:p>
  </w:comment>
  <w:comment w:id="5" w:author="少年司法专委会会务组" w:date="2025-04-02T22:49:00Z" w:initials="会务组">
    <w:p w14:paraId="1E4624CC" w14:textId="77777777" w:rsidR="00165D07" w:rsidRDefault="00165D07" w:rsidP="00165D07">
      <w:pPr>
        <w:pStyle w:val="a4"/>
        <w:ind w:firstLine="0"/>
      </w:pPr>
      <w:r>
        <w:rPr>
          <w:rFonts w:hint="eastAsia"/>
          <w:color w:val="3E3E3E"/>
          <w:highlight w:val="white"/>
        </w:rPr>
        <w:t>摘要和关键词请用五号楷体，首行缩进</w:t>
      </w:r>
      <w:r>
        <w:rPr>
          <w:rFonts w:hint="eastAsia"/>
          <w:color w:val="3E3E3E"/>
          <w:highlight w:val="white"/>
        </w:rPr>
        <w:t>2</w:t>
      </w:r>
      <w:r>
        <w:rPr>
          <w:rFonts w:hint="eastAsia"/>
          <w:color w:val="3E3E3E"/>
          <w:highlight w:val="white"/>
        </w:rPr>
        <w:t>字符，行距固定值</w:t>
      </w:r>
      <w:r>
        <w:rPr>
          <w:rFonts w:hint="eastAsia"/>
          <w:color w:val="3E3E3E"/>
          <w:highlight w:val="white"/>
        </w:rPr>
        <w:t>20</w:t>
      </w:r>
      <w:r>
        <w:rPr>
          <w:rFonts w:hint="eastAsia"/>
          <w:color w:val="3E3E3E"/>
          <w:highlight w:val="white"/>
        </w:rPr>
        <w:t>磅。</w:t>
      </w:r>
    </w:p>
  </w:comment>
  <w:comment w:id="6" w:author="少年司法专委会会务组" w:date="2025-04-02T23:30:00Z" w:initials="会务组">
    <w:p w14:paraId="77F2C0CA" w14:textId="77777777" w:rsidR="00C3547D" w:rsidRDefault="00C3547D" w:rsidP="00C3547D">
      <w:pPr>
        <w:pStyle w:val="a4"/>
        <w:ind w:firstLine="0"/>
      </w:pPr>
      <w:r>
        <w:rPr>
          <w:rStyle w:val="af"/>
        </w:rPr>
        <w:annotationRef/>
      </w:r>
      <w:r>
        <w:rPr>
          <w:rFonts w:hint="eastAsia"/>
        </w:rPr>
        <w:t>关键词之间请用两个字符空格隔开</w:t>
      </w:r>
    </w:p>
  </w:comment>
  <w:comment w:id="7" w:author="少年司法专委会会务组" w:date="2025-04-02T22:50:00Z" w:initials="会务组">
    <w:p w14:paraId="7C1DC81D" w14:textId="58A5F658" w:rsidR="00FD0A0E" w:rsidRDefault="00000000">
      <w:pPr>
        <w:pStyle w:val="a4"/>
        <w:ind w:firstLine="0"/>
      </w:pPr>
      <w:r>
        <w:rPr>
          <w:rFonts w:hint="eastAsia"/>
          <w:color w:val="3E3E3E"/>
          <w:highlight w:val="white"/>
        </w:rPr>
        <w:t>一级标题请用小四号黑体，居中。行距段前段后</w:t>
      </w:r>
      <w:r>
        <w:rPr>
          <w:rFonts w:hint="eastAsia"/>
          <w:color w:val="3E3E3E"/>
          <w:highlight w:val="white"/>
        </w:rPr>
        <w:t>12</w:t>
      </w:r>
      <w:r>
        <w:rPr>
          <w:rFonts w:hint="eastAsia"/>
          <w:color w:val="3E3E3E"/>
          <w:highlight w:val="white"/>
        </w:rPr>
        <w:t>磅，间距固定制</w:t>
      </w:r>
      <w:r>
        <w:rPr>
          <w:rFonts w:hint="eastAsia"/>
          <w:color w:val="3E3E3E"/>
          <w:highlight w:val="white"/>
        </w:rPr>
        <w:t>20</w:t>
      </w:r>
      <w:r>
        <w:rPr>
          <w:rFonts w:hint="eastAsia"/>
          <w:color w:val="3E3E3E"/>
          <w:highlight w:val="white"/>
        </w:rPr>
        <w:t>磅。</w:t>
      </w:r>
    </w:p>
  </w:comment>
  <w:comment w:id="9" w:author="少年司法专委会会务组" w:date="2025-04-02T22:59:00Z" w:initials="会务组">
    <w:p w14:paraId="1BA0747C" w14:textId="77777777" w:rsidR="00FD0A0E" w:rsidRDefault="00000000">
      <w:pPr>
        <w:pStyle w:val="a4"/>
        <w:ind w:firstLine="0"/>
      </w:pPr>
      <w:r>
        <w:rPr>
          <w:rFonts w:hint="eastAsia"/>
        </w:rPr>
        <w:t>域外判例参考格式</w:t>
      </w:r>
    </w:p>
  </w:comment>
  <w:comment w:id="8" w:author="少年司法专委会会务组" w:date="2025-04-02T22:50:00Z" w:initials="会务组">
    <w:p w14:paraId="3777D17A" w14:textId="77777777" w:rsidR="00FD0A0E" w:rsidRDefault="00000000">
      <w:pPr>
        <w:pStyle w:val="a4"/>
        <w:ind w:firstLine="0"/>
      </w:pPr>
      <w:r>
        <w:rPr>
          <w:rFonts w:hint="eastAsia"/>
        </w:rPr>
        <w:t>中文正文请用</w:t>
      </w:r>
      <w:r>
        <w:rPr>
          <w:rFonts w:hint="eastAsia"/>
          <w:color w:val="3E3E3E"/>
          <w:highlight w:val="white"/>
        </w:rPr>
        <w:t>五号宋体，固定行距</w:t>
      </w:r>
      <w:r>
        <w:rPr>
          <w:rFonts w:hint="eastAsia"/>
          <w:color w:val="3E3E3E"/>
          <w:highlight w:val="white"/>
        </w:rPr>
        <w:t>20</w:t>
      </w:r>
      <w:r>
        <w:rPr>
          <w:rFonts w:hint="eastAsia"/>
          <w:color w:val="3E3E3E"/>
          <w:highlight w:val="white"/>
        </w:rPr>
        <w:t>磅</w:t>
      </w:r>
      <w:r>
        <w:t xml:space="preserve"> </w:t>
      </w:r>
      <w:r>
        <w:rPr>
          <w:rFonts w:hint="eastAsia"/>
        </w:rPr>
        <w:t>正文中英文请用</w:t>
      </w:r>
      <w:r>
        <w:rPr>
          <w:rFonts w:hint="eastAsia"/>
        </w:rPr>
        <w:t>Calibri</w:t>
      </w:r>
      <w:r>
        <w:rPr>
          <w:rFonts w:hint="eastAsia"/>
        </w:rPr>
        <w:t>五号字体。正文与摘要之间请下空一行。</w:t>
      </w:r>
    </w:p>
  </w:comment>
  <w:comment w:id="10" w:author="少年司法专委会会务组" w:date="2025-04-02T22:57:00Z" w:initials="会务组">
    <w:p w14:paraId="275EA2C5" w14:textId="77777777" w:rsidR="00FD0A0E" w:rsidRDefault="00000000">
      <w:pPr>
        <w:pStyle w:val="a4"/>
        <w:ind w:firstLine="0"/>
      </w:pPr>
      <w:r>
        <w:rPr>
          <w:rFonts w:hint="eastAsia"/>
        </w:rPr>
        <w:t>国内文献参考格式</w:t>
      </w:r>
    </w:p>
  </w:comment>
  <w:comment w:id="11" w:author="少年司法专委会会务组" w:date="2025-04-02T23:22:00Z" w:initials="会务组">
    <w:p w14:paraId="7C2A96DA" w14:textId="77777777" w:rsidR="00937057" w:rsidRDefault="00937057" w:rsidP="00937057">
      <w:pPr>
        <w:pStyle w:val="a4"/>
        <w:ind w:firstLine="0"/>
      </w:pPr>
      <w:r>
        <w:rPr>
          <w:rStyle w:val="af"/>
        </w:rPr>
        <w:annotationRef/>
      </w:r>
      <w:r>
        <w:rPr>
          <w:rFonts w:hint="eastAsia"/>
        </w:rPr>
        <w:t>著作参考格式</w:t>
      </w:r>
    </w:p>
  </w:comment>
  <w:comment w:id="12" w:author="少年司法专委会会务组" w:date="2025-04-02T23:28:00Z" w:initials="会务组">
    <w:p w14:paraId="067509C1" w14:textId="77777777" w:rsidR="00165D07" w:rsidRDefault="00937057" w:rsidP="00165D07">
      <w:pPr>
        <w:pStyle w:val="a4"/>
        <w:ind w:firstLine="0"/>
      </w:pPr>
      <w:r>
        <w:rPr>
          <w:rStyle w:val="af"/>
        </w:rPr>
        <w:annotationRef/>
      </w:r>
      <w:r w:rsidR="00165D07">
        <w:rPr>
          <w:rFonts w:hint="eastAsia"/>
        </w:rPr>
        <w:t>学位论文参考格式</w:t>
      </w:r>
    </w:p>
  </w:comment>
  <w:comment w:id="13" w:author="少年司法专委会会务组" w:date="2025-04-02T23:26:00Z" w:initials="会务组">
    <w:p w14:paraId="5F3158F1" w14:textId="3A12FCFE" w:rsidR="00937057" w:rsidRDefault="00937057" w:rsidP="00937057">
      <w:pPr>
        <w:pStyle w:val="a4"/>
        <w:ind w:firstLine="0"/>
      </w:pPr>
      <w:r>
        <w:rPr>
          <w:rStyle w:val="af"/>
        </w:rPr>
        <w:annotationRef/>
      </w:r>
      <w:r>
        <w:rPr>
          <w:rFonts w:hint="eastAsia"/>
        </w:rPr>
        <w:t>报纸参考格式</w:t>
      </w:r>
    </w:p>
  </w:comment>
  <w:comment w:id="14" w:author="少年司法专委会会务组" w:date="2025-04-02T22:59:00Z" w:initials="会务组">
    <w:p w14:paraId="111A4479" w14:textId="3A5F9651" w:rsidR="00FD0A0E" w:rsidRDefault="00000000">
      <w:pPr>
        <w:pStyle w:val="a4"/>
        <w:ind w:firstLine="0"/>
      </w:pPr>
      <w:r>
        <w:rPr>
          <w:rFonts w:hint="eastAsia"/>
        </w:rPr>
        <w:t>英文引用参考格式</w:t>
      </w:r>
    </w:p>
  </w:comment>
  <w:comment w:id="15" w:author="少年司法专委会会务组" w:date="2025-04-02T23:25:00Z" w:initials="会务组">
    <w:p w14:paraId="2CE29A4D" w14:textId="77777777" w:rsidR="00937057" w:rsidRDefault="00937057" w:rsidP="00937057">
      <w:pPr>
        <w:pStyle w:val="a4"/>
        <w:ind w:firstLine="0"/>
      </w:pPr>
      <w:r>
        <w:rPr>
          <w:rStyle w:val="af"/>
        </w:rPr>
        <w:annotationRef/>
      </w:r>
      <w:r>
        <w:rPr>
          <w:rFonts w:hint="eastAsia"/>
        </w:rPr>
        <w:t>国内裁判文书参考格式</w:t>
      </w:r>
    </w:p>
  </w:comment>
  <w:comment w:id="16" w:author="少年司法专委会会务组" w:date="2025-04-02T22:52:00Z" w:initials="会务组">
    <w:p w14:paraId="00D81609" w14:textId="54BE56A1" w:rsidR="00FD0A0E" w:rsidRDefault="00000000">
      <w:pPr>
        <w:pStyle w:val="a4"/>
        <w:ind w:firstLine="0"/>
      </w:pPr>
      <w:r>
        <w:rPr>
          <w:rFonts w:hint="eastAsia"/>
        </w:rPr>
        <w:t>二级标题请用</w:t>
      </w:r>
      <w:r>
        <w:rPr>
          <w:rFonts w:hint="eastAsia"/>
          <w:color w:val="3E3E3E"/>
          <w:highlight w:val="white"/>
        </w:rPr>
        <w:t>五号宋体，不居中</w:t>
      </w:r>
      <w:r>
        <w:rPr>
          <w:rFonts w:hint="eastAsia"/>
        </w:rPr>
        <w:t>，首行缩进两字符固定值</w:t>
      </w:r>
      <w:r>
        <w:rPr>
          <w:rFonts w:hint="eastAsia"/>
        </w:rPr>
        <w:t>20</w:t>
      </w:r>
      <w:r>
        <w:rPr>
          <w:rFonts w:hint="eastAsia"/>
        </w:rPr>
        <w:t>磅。</w:t>
      </w:r>
    </w:p>
  </w:comment>
  <w:comment w:id="17" w:author="少年司法专委会会务组" w:date="2025-04-02T22:52:00Z" w:initials="会务组">
    <w:p w14:paraId="6BE3AD34" w14:textId="77777777" w:rsidR="00FD0A0E" w:rsidRDefault="00000000">
      <w:pPr>
        <w:pStyle w:val="a4"/>
        <w:ind w:firstLine="0"/>
      </w:pPr>
      <w:r>
        <w:rPr>
          <w:rFonts w:hint="eastAsia"/>
        </w:rPr>
        <w:t>三级标题同正文格式</w:t>
      </w:r>
    </w:p>
  </w:comment>
  <w:comment w:id="18" w:author="少年司法专委会会务组" w:date="2025-04-02T22:55:00Z" w:initials="会务组">
    <w:p w14:paraId="76E610E8" w14:textId="77777777" w:rsidR="00FD0A0E" w:rsidRDefault="00000000">
      <w:pPr>
        <w:pStyle w:val="a4"/>
        <w:ind w:firstLine="0"/>
      </w:pPr>
      <w:r>
        <w:rPr>
          <w:rFonts w:hint="eastAsia"/>
        </w:rPr>
        <w:t>图片居中，嵌入性环绕，行距设置为单倍行距</w:t>
      </w:r>
    </w:p>
  </w:comment>
  <w:comment w:id="19" w:author="少年司法专委会会务组" w:date="2025-04-02T22:55:00Z" w:initials="会务组">
    <w:p w14:paraId="248D5FE7" w14:textId="77777777" w:rsidR="00FD0A0E" w:rsidRDefault="00000000">
      <w:pPr>
        <w:pStyle w:val="a4"/>
        <w:ind w:firstLine="0"/>
      </w:pPr>
      <w:r>
        <w:rPr>
          <w:rFonts w:hint="eastAsia"/>
        </w:rPr>
        <w:t>图例说明用仿宋小五，居中</w:t>
      </w:r>
    </w:p>
  </w:comment>
  <w:comment w:id="20" w:author="少年司法专委会会务组" w:date="2025-04-02T22:56:00Z" w:initials="会务组">
    <w:p w14:paraId="4DE4406D" w14:textId="77777777" w:rsidR="00FD0A0E" w:rsidRDefault="00000000">
      <w:pPr>
        <w:pStyle w:val="a4"/>
        <w:ind w:firstLine="0"/>
      </w:pPr>
      <w:r>
        <w:rPr>
          <w:rFonts w:hint="eastAsia"/>
        </w:rPr>
        <w:t>网站引用格式</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D3D391" w15:done="0"/>
  <w15:commentEx w15:paraId="5BC400D8" w15:paraIdParent="3ED3D391" w15:done="0"/>
  <w15:commentEx w15:paraId="2C8A765B" w15:done="0"/>
  <w15:commentEx w15:paraId="4C9CD1E7" w15:done="0"/>
  <w15:commentEx w15:paraId="7B8F40E5" w15:paraIdParent="4C9CD1E7" w15:done="0"/>
  <w15:commentEx w15:paraId="1E4624CC" w15:done="0"/>
  <w15:commentEx w15:paraId="77F2C0CA" w15:paraIdParent="1E4624CC" w15:done="0"/>
  <w15:commentEx w15:paraId="7C1DC81D" w15:done="0"/>
  <w15:commentEx w15:paraId="1BA0747C" w15:done="0"/>
  <w15:commentEx w15:paraId="3777D17A" w15:done="0"/>
  <w15:commentEx w15:paraId="275EA2C5" w15:done="0"/>
  <w15:commentEx w15:paraId="7C2A96DA" w15:done="0"/>
  <w15:commentEx w15:paraId="067509C1" w15:done="0"/>
  <w15:commentEx w15:paraId="5F3158F1" w15:done="0"/>
  <w15:commentEx w15:paraId="111A4479" w15:done="0"/>
  <w15:commentEx w15:paraId="2CE29A4D" w15:done="0"/>
  <w15:commentEx w15:paraId="00D81609" w15:done="0"/>
  <w15:commentEx w15:paraId="6BE3AD34" w15:done="0"/>
  <w15:commentEx w15:paraId="76E610E8" w15:done="0"/>
  <w15:commentEx w15:paraId="248D5FE7" w15:done="0"/>
  <w15:commentEx w15:paraId="4DE440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DAACB8" w16cex:dateUtc="2025-04-02T15:35:00Z"/>
  <w16cex:commentExtensible w16cex:durableId="3F82FE18" w16cex:dateUtc="2025-04-02T15:34:00Z"/>
  <w16cex:commentExtensible w16cex:durableId="0C2EA5AD" w16cex:dateUtc="2025-04-02T15:30:00Z"/>
  <w16cex:commentExtensible w16cex:durableId="19ED5176" w16cex:dateUtc="2025-04-02T15:22:00Z"/>
  <w16cex:commentExtensible w16cex:durableId="11F1970B" w16cex:dateUtc="2025-04-02T15:28:00Z"/>
  <w16cex:commentExtensible w16cex:durableId="4E1B8B23" w16cex:dateUtc="2025-04-02T15:26:00Z"/>
  <w16cex:commentExtensible w16cex:durableId="5F0ADEE8" w16cex:dateUtc="2025-04-02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D3D391" w16cid:durableId="3ED3D391"/>
  <w16cid:commentId w16cid:paraId="5BC400D8" w16cid:durableId="22DAACB8"/>
  <w16cid:commentId w16cid:paraId="2C8A765B" w16cid:durableId="3F82FE18"/>
  <w16cid:commentId w16cid:paraId="4C9CD1E7" w16cid:durableId="4C9CD1E7"/>
  <w16cid:commentId w16cid:paraId="7B8F40E5" w16cid:durableId="7B8F40E5"/>
  <w16cid:commentId w16cid:paraId="1E4624CC" w16cid:durableId="1E4624CC"/>
  <w16cid:commentId w16cid:paraId="77F2C0CA" w16cid:durableId="0C2EA5AD"/>
  <w16cid:commentId w16cid:paraId="7C1DC81D" w16cid:durableId="7C1DC81D"/>
  <w16cid:commentId w16cid:paraId="1BA0747C" w16cid:durableId="1BA0747C"/>
  <w16cid:commentId w16cid:paraId="3777D17A" w16cid:durableId="3777D17A"/>
  <w16cid:commentId w16cid:paraId="275EA2C5" w16cid:durableId="275EA2C5"/>
  <w16cid:commentId w16cid:paraId="7C2A96DA" w16cid:durableId="19ED5176"/>
  <w16cid:commentId w16cid:paraId="067509C1" w16cid:durableId="11F1970B"/>
  <w16cid:commentId w16cid:paraId="5F3158F1" w16cid:durableId="4E1B8B23"/>
  <w16cid:commentId w16cid:paraId="111A4479" w16cid:durableId="111A4479"/>
  <w16cid:commentId w16cid:paraId="2CE29A4D" w16cid:durableId="5F0ADEE8"/>
  <w16cid:commentId w16cid:paraId="00D81609" w16cid:durableId="00D81609"/>
  <w16cid:commentId w16cid:paraId="6BE3AD34" w16cid:durableId="6BE3AD34"/>
  <w16cid:commentId w16cid:paraId="76E610E8" w16cid:durableId="76E610E8"/>
  <w16cid:commentId w16cid:paraId="248D5FE7" w16cid:durableId="248D5FE7"/>
  <w16cid:commentId w16cid:paraId="4DE4406D" w16cid:durableId="4DE440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288FD" w14:textId="77777777" w:rsidR="000C7DE9" w:rsidRDefault="000C7DE9">
      <w:pPr>
        <w:spacing w:line="240" w:lineRule="auto"/>
      </w:pPr>
      <w:r>
        <w:separator/>
      </w:r>
    </w:p>
  </w:endnote>
  <w:endnote w:type="continuationSeparator" w:id="0">
    <w:p w14:paraId="1F1441CE" w14:textId="77777777" w:rsidR="000C7DE9" w:rsidRDefault="000C7D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default"/>
    <w:sig w:usb0="E50002FF" w:usb1="500079DB" w:usb2="00000010" w:usb3="00000000" w:csb0="00000000" w:csb1="00000000"/>
  </w:font>
  <w:font w:name="楷体">
    <w:altName w:val="汉仪楷体KW"/>
    <w:panose1 w:val="02010609060101010101"/>
    <w:charset w:val="86"/>
    <w:family w:val="modern"/>
    <w:pitch w:val="fixed"/>
    <w:sig w:usb0="800002BF" w:usb1="38CF7CFA" w:usb2="00000016" w:usb3="00000000" w:csb0="00040001" w:csb1="00000000"/>
  </w:font>
  <w:font w:name=".pingfang sc">
    <w:altName w:val="Calibri"/>
    <w:charset w:val="00"/>
    <w:family w:val="auto"/>
    <w:pitch w:val="default"/>
    <w:sig w:usb0="E0000AFF" w:usb1="00007843" w:usb2="00000001" w:usb3="00000000" w:csb0="400001BF" w:csb1="DFF70000"/>
  </w:font>
  <w:font w:name="黑体">
    <w:altName w:val="SimHei"/>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E0000AFF" w:usb1="00007843" w:usb2="00000001" w:usb3="00000000" w:csb0="400001BF" w:csb1="DFF70000"/>
  </w:font>
  <w:font w:name="微软雅黑">
    <w:altName w:val="汉仪旗黑"/>
    <w:panose1 w:val="020B0503020204020204"/>
    <w:charset w:val="86"/>
    <w:family w:val="swiss"/>
    <w:pitch w:val="variable"/>
    <w:sig w:usb0="80000287" w:usb1="2ACF3C50" w:usb2="00000016" w:usb3="00000000" w:csb0="0004001F" w:csb1="00000000"/>
  </w:font>
  <w:font w:name="仿宋">
    <w:altName w:val="方正仿宋_GBK"/>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9B30C" w14:textId="77777777" w:rsidR="000C7DE9" w:rsidRDefault="000C7DE9">
      <w:pPr>
        <w:spacing w:line="240" w:lineRule="auto"/>
      </w:pPr>
      <w:r>
        <w:separator/>
      </w:r>
    </w:p>
  </w:footnote>
  <w:footnote w:type="continuationSeparator" w:id="0">
    <w:p w14:paraId="2446EBA7" w14:textId="77777777" w:rsidR="000C7DE9" w:rsidRDefault="000C7DE9">
      <w:pPr>
        <w:spacing w:line="240" w:lineRule="auto"/>
      </w:pPr>
      <w:r>
        <w:continuationSeparator/>
      </w:r>
    </w:p>
  </w:footnote>
  <w:footnote w:id="1">
    <w:p w14:paraId="46BF827C" w14:textId="77777777" w:rsidR="00BE1AAC" w:rsidRDefault="00BE1AAC" w:rsidP="00BE1AAC">
      <w:pPr>
        <w:keepLines/>
        <w:snapToGrid w:val="0"/>
        <w:spacing w:line="240" w:lineRule="auto"/>
        <w:ind w:firstLine="0"/>
        <w:rPr>
          <w:rFonts w:ascii="宋体" w:eastAsia="宋体" w:hAnsi="宋体" w:cs="宋体" w:hint="eastAsia"/>
          <w:sz w:val="18"/>
          <w:szCs w:val="18"/>
        </w:rPr>
      </w:pPr>
      <w:r>
        <w:rPr>
          <w:rFonts w:ascii="Times New Roman" w:eastAsia="宋体" w:hAnsi="Times New Roman" w:cs="Times New Roman" w:hint="eastAsia"/>
          <w:sz w:val="18"/>
          <w:szCs w:val="18"/>
          <w:vertAlign w:val="superscript"/>
        </w:rPr>
        <w:t xml:space="preserve">* </w:t>
      </w:r>
      <w:r>
        <w:rPr>
          <w:rFonts w:ascii="宋体" w:eastAsia="宋体" w:hAnsi="宋体" w:cs="宋体" w:hint="eastAsia"/>
          <w:sz w:val="18"/>
          <w:szCs w:val="18"/>
        </w:rPr>
        <w:t>刘某某，1975年5月生，XX大学XX学院院长、教授、博士生导师，手机号码139XXXX0001，通信地址：北京市海淀区XX大学，邮箱：</w:t>
      </w:r>
      <w:r>
        <w:fldChar w:fldCharType="begin"/>
      </w:r>
      <w:r>
        <w:instrText xml:space="preserve"> HYPERLINK "mailto:XXXXX@163.com" </w:instrText>
      </w:r>
      <w:r>
        <w:fldChar w:fldCharType="separate"/>
      </w:r>
      <w:r>
        <w:rPr>
          <w:rStyle w:val="ae"/>
          <w:rFonts w:ascii="宋体" w:eastAsia="宋体" w:hAnsi="宋体" w:cs="宋体" w:hint="eastAsia"/>
          <w:sz w:val="18"/>
          <w:szCs w:val="18"/>
        </w:rPr>
        <w:t>XXXXX@163.</w:t>
      </w:r>
      <w:r>
        <w:rPr>
          <w:rStyle w:val="ae"/>
          <w:rFonts w:ascii="宋体" w:eastAsia="宋体" w:hAnsi="宋体" w:cs="宋体"/>
          <w:sz w:val="18"/>
          <w:szCs w:val="18"/>
        </w:rPr>
        <w:t>com</w:t>
      </w:r>
      <w:r>
        <w:rPr>
          <w:rStyle w:val="ae"/>
          <w:rFonts w:ascii="宋体" w:eastAsia="宋体" w:hAnsi="宋体" w:cs="宋体"/>
          <w:sz w:val="18"/>
          <w:szCs w:val="18"/>
        </w:rPr>
        <w:fldChar w:fldCharType="end"/>
      </w:r>
      <w:r>
        <w:rPr>
          <w:rFonts w:ascii="宋体" w:eastAsia="宋体" w:hAnsi="宋体" w:cs="宋体" w:hint="eastAsia"/>
          <w:sz w:val="18"/>
          <w:szCs w:val="18"/>
        </w:rPr>
        <w:t>。</w:t>
      </w:r>
    </w:p>
    <w:p w14:paraId="554EDDBF" w14:textId="236C8F37" w:rsidR="00BE1AAC" w:rsidRDefault="00BE1AAC">
      <w:pPr>
        <w:pStyle w:val="aa"/>
        <w:rPr>
          <w:rFonts w:hint="eastAsia"/>
        </w:rPr>
      </w:pPr>
      <w:r>
        <w:rPr>
          <w:rStyle w:val="af0"/>
          <w:rFonts w:hint="eastAsia"/>
        </w:rPr>
        <w:t>**</w:t>
      </w:r>
      <w:r>
        <w:rPr>
          <w:rFonts w:hint="eastAsia"/>
        </w:rPr>
        <w:t xml:space="preserve"> 李某某，1980年3月生，陕西省西安市XXX检察院未成年人检察部四级检察官，手机号码159XXXX0002，通信地址：陕西省西安市XX区XX小区，邮箱：</w:t>
      </w:r>
      <w:r>
        <w:rPr>
          <w:rFonts w:hint="eastAsia"/>
        </w:rPr>
        <w:fldChar w:fldCharType="begin"/>
      </w:r>
      <w:r>
        <w:rPr>
          <w:rFonts w:hint="eastAsia"/>
        </w:rPr>
        <w:instrText>HYPERLINK "mailto:XXXX@qq.com"</w:instrText>
      </w:r>
      <w:r>
        <w:rPr>
          <w:rFonts w:hint="eastAsia"/>
        </w:rPr>
      </w:r>
      <w:r>
        <w:rPr>
          <w:rFonts w:hint="eastAsia"/>
        </w:rPr>
        <w:fldChar w:fldCharType="separate"/>
      </w:r>
      <w:r w:rsidRPr="00AF4C42">
        <w:rPr>
          <w:rStyle w:val="ae"/>
          <w:rFonts w:hint="eastAsia"/>
        </w:rPr>
        <w:t>XXXX@qq.com</w:t>
      </w:r>
      <w:r>
        <w:rPr>
          <w:rFonts w:hint="eastAsia"/>
        </w:rPr>
        <w:fldChar w:fldCharType="end"/>
      </w:r>
      <w:r>
        <w:rPr>
          <w:rFonts w:hint="eastAsia"/>
        </w:rPr>
        <w:t>。</w:t>
      </w:r>
    </w:p>
  </w:footnote>
  <w:footnote w:id="2">
    <w:p w14:paraId="06B7EBE6" w14:textId="77777777" w:rsidR="00FD0A0E" w:rsidRDefault="00000000">
      <w:pPr>
        <w:keepLines/>
        <w:snapToGrid w:val="0"/>
        <w:spacing w:line="240" w:lineRule="auto"/>
        <w:ind w:firstLine="0"/>
        <w:rPr>
          <w:rFonts w:ascii="宋体" w:eastAsia="宋体" w:hAnsi="宋体" w:cs="宋体" w:hint="eastAsia"/>
          <w:sz w:val="18"/>
          <w:szCs w:val="18"/>
        </w:rPr>
      </w:pPr>
      <w:r>
        <w:rPr>
          <w:rFonts w:ascii="Calibri" w:eastAsia="宋体" w:hAnsi="Calibri" w:cs="Times New Roman"/>
          <w:sz w:val="18"/>
          <w:vertAlign w:val="superscript"/>
        </w:rPr>
        <w:footnoteRef/>
      </w:r>
      <w:r>
        <w:rPr>
          <w:rFonts w:ascii="宋体" w:eastAsia="宋体" w:hAnsi="宋体" w:cs="宋体"/>
          <w:sz w:val="18"/>
          <w:szCs w:val="18"/>
        </w:rPr>
        <w:t xml:space="preserve"> Burger </w:t>
      </w:r>
      <w:r>
        <w:rPr>
          <w:rFonts w:ascii="宋体" w:eastAsia="宋体" w:hAnsi="宋体" w:cs="宋体"/>
          <w:i/>
          <w:iCs/>
          <w:sz w:val="18"/>
          <w:szCs w:val="18"/>
        </w:rPr>
        <w:t xml:space="preserve">v. </w:t>
      </w:r>
      <w:r>
        <w:rPr>
          <w:rFonts w:ascii="宋体" w:eastAsia="宋体" w:hAnsi="宋体" w:cs="宋体"/>
          <w:sz w:val="18"/>
          <w:szCs w:val="18"/>
        </w:rPr>
        <w:t>Kemp, 483 U.S. 776 (1987).</w:t>
      </w:r>
    </w:p>
    <w:p w14:paraId="2DCE42AE" w14:textId="77777777" w:rsidR="00FD0A0E" w:rsidRDefault="00000000">
      <w:pPr>
        <w:pStyle w:val="a0"/>
        <w:ind w:firstLineChars="0" w:firstLine="0"/>
      </w:pPr>
      <w:r>
        <w:rPr>
          <w:rFonts w:hint="eastAsia"/>
          <w:highlight w:val="yellow"/>
        </w:rPr>
        <w:t>脚注请用①②③④格式，并设置每页重新编号。</w:t>
      </w:r>
    </w:p>
  </w:footnote>
  <w:footnote w:id="3">
    <w:p w14:paraId="58E18AA1" w14:textId="77777777" w:rsidR="00FD0A0E" w:rsidRDefault="00000000">
      <w:pPr>
        <w:keepLines/>
        <w:snapToGrid w:val="0"/>
        <w:spacing w:line="240" w:lineRule="auto"/>
        <w:ind w:firstLine="0"/>
        <w:rPr>
          <w:rFonts w:ascii="宋体" w:eastAsia="宋体" w:hAnsi="宋体" w:cs="宋体" w:hint="eastAsia"/>
          <w:sz w:val="18"/>
          <w:szCs w:val="18"/>
        </w:rPr>
      </w:pPr>
      <w:r>
        <w:rPr>
          <w:rFonts w:ascii="Calibri" w:eastAsia="宋体" w:hAnsi="Calibri" w:cs="Times New Roman"/>
          <w:sz w:val="18"/>
          <w:vertAlign w:val="superscript"/>
        </w:rPr>
        <w:footnoteRef/>
      </w:r>
      <w:r>
        <w:rPr>
          <w:rFonts w:ascii="Times New Roman" w:eastAsia="宋体" w:hAnsi="Times New Roman" w:cs="Times New Roman"/>
          <w:sz w:val="18"/>
          <w:szCs w:val="18"/>
        </w:rPr>
        <w:t xml:space="preserve"> </w:t>
      </w:r>
      <w:r>
        <w:rPr>
          <w:rFonts w:ascii="宋体" w:eastAsia="宋体" w:hAnsi="宋体" w:cs="宋体" w:hint="eastAsia"/>
          <w:sz w:val="18"/>
          <w:szCs w:val="18"/>
        </w:rPr>
        <w:t>参见林劲松：《美国无效辩护制度及其借鉴意义》，载《华东政法学院学报》</w:t>
      </w:r>
      <w:r>
        <w:rPr>
          <w:rFonts w:ascii="宋体" w:eastAsia="宋体" w:hAnsi="宋体" w:cs="宋体"/>
          <w:sz w:val="18"/>
          <w:szCs w:val="18"/>
        </w:rPr>
        <w:t>2006</w:t>
      </w:r>
      <w:r>
        <w:rPr>
          <w:rFonts w:ascii="宋体" w:eastAsia="宋体" w:hAnsi="宋体" w:cs="宋体" w:hint="eastAsia"/>
          <w:sz w:val="18"/>
          <w:szCs w:val="18"/>
        </w:rPr>
        <w:t>年第</w:t>
      </w:r>
      <w:r>
        <w:rPr>
          <w:rFonts w:ascii="宋体" w:eastAsia="宋体" w:hAnsi="宋体" w:cs="宋体"/>
          <w:sz w:val="18"/>
          <w:szCs w:val="18"/>
        </w:rPr>
        <w:t>4</w:t>
      </w:r>
      <w:r>
        <w:rPr>
          <w:rFonts w:ascii="宋体" w:eastAsia="宋体" w:hAnsi="宋体" w:cs="宋体" w:hint="eastAsia"/>
          <w:sz w:val="18"/>
          <w:szCs w:val="18"/>
        </w:rPr>
        <w:t>期，第</w:t>
      </w:r>
      <w:r>
        <w:rPr>
          <w:rFonts w:ascii="宋体" w:eastAsia="宋体" w:hAnsi="宋体" w:cs="宋体"/>
          <w:sz w:val="18"/>
          <w:szCs w:val="18"/>
        </w:rPr>
        <w:t>80-87</w:t>
      </w:r>
      <w:r>
        <w:rPr>
          <w:rFonts w:ascii="宋体" w:eastAsia="宋体" w:hAnsi="宋体" w:cs="宋体" w:hint="eastAsia"/>
          <w:sz w:val="18"/>
          <w:szCs w:val="18"/>
        </w:rPr>
        <w:t>页；</w:t>
      </w:r>
      <w:proofErr w:type="gramStart"/>
      <w:r>
        <w:rPr>
          <w:rFonts w:ascii="宋体" w:eastAsia="宋体" w:hAnsi="宋体" w:cs="宋体"/>
          <w:sz w:val="18"/>
          <w:szCs w:val="18"/>
        </w:rPr>
        <w:t>参见</w:t>
      </w:r>
      <w:r>
        <w:rPr>
          <w:rFonts w:ascii="宋体" w:eastAsia="宋体" w:hAnsi="宋体" w:cs="宋体" w:hint="eastAsia"/>
          <w:sz w:val="18"/>
          <w:szCs w:val="18"/>
        </w:rPr>
        <w:t>施亚芬</w:t>
      </w:r>
      <w:proofErr w:type="gramEnd"/>
      <w:r>
        <w:rPr>
          <w:rFonts w:ascii="宋体" w:eastAsia="宋体" w:hAnsi="宋体" w:cs="宋体" w:hint="eastAsia"/>
          <w:sz w:val="18"/>
          <w:szCs w:val="18"/>
        </w:rPr>
        <w:t>：《从国际刑事司法准则中的有效辩护原则看我国刑事诉讼法的完善》，载《国际关系学院学报》</w:t>
      </w:r>
      <w:r>
        <w:rPr>
          <w:rFonts w:ascii="宋体" w:eastAsia="宋体" w:hAnsi="宋体" w:cs="宋体"/>
          <w:sz w:val="18"/>
          <w:szCs w:val="18"/>
        </w:rPr>
        <w:t>2010</w:t>
      </w:r>
      <w:r>
        <w:rPr>
          <w:rFonts w:ascii="宋体" w:eastAsia="宋体" w:hAnsi="宋体" w:cs="宋体" w:hint="eastAsia"/>
          <w:sz w:val="18"/>
          <w:szCs w:val="18"/>
        </w:rPr>
        <w:t>年第</w:t>
      </w:r>
      <w:r>
        <w:rPr>
          <w:rFonts w:ascii="宋体" w:eastAsia="宋体" w:hAnsi="宋体" w:cs="宋体"/>
          <w:sz w:val="18"/>
          <w:szCs w:val="18"/>
        </w:rPr>
        <w:t>2</w:t>
      </w:r>
      <w:r>
        <w:rPr>
          <w:rFonts w:ascii="宋体" w:eastAsia="宋体" w:hAnsi="宋体" w:cs="宋体" w:hint="eastAsia"/>
          <w:sz w:val="18"/>
          <w:szCs w:val="18"/>
        </w:rPr>
        <w:t>期，第</w:t>
      </w:r>
      <w:r>
        <w:rPr>
          <w:rFonts w:ascii="宋体" w:eastAsia="宋体" w:hAnsi="宋体" w:cs="宋体"/>
          <w:sz w:val="18"/>
          <w:szCs w:val="18"/>
        </w:rPr>
        <w:t>56-61</w:t>
      </w:r>
      <w:r>
        <w:rPr>
          <w:rFonts w:ascii="宋体" w:eastAsia="宋体" w:hAnsi="宋体" w:cs="宋体" w:hint="eastAsia"/>
          <w:sz w:val="18"/>
          <w:szCs w:val="18"/>
        </w:rPr>
        <w:t>页；</w:t>
      </w:r>
      <w:r>
        <w:rPr>
          <w:rFonts w:ascii="宋体" w:eastAsia="宋体" w:hAnsi="宋体" w:cs="宋体"/>
          <w:sz w:val="18"/>
          <w:szCs w:val="18"/>
        </w:rPr>
        <w:t>参见</w:t>
      </w:r>
      <w:r>
        <w:rPr>
          <w:rFonts w:ascii="宋体" w:eastAsia="宋体" w:hAnsi="宋体" w:cs="宋体" w:hint="eastAsia"/>
          <w:sz w:val="18"/>
          <w:szCs w:val="18"/>
        </w:rPr>
        <w:t>申飞</w:t>
      </w:r>
      <w:proofErr w:type="gramStart"/>
      <w:r>
        <w:rPr>
          <w:rFonts w:ascii="宋体" w:eastAsia="宋体" w:hAnsi="宋体" w:cs="宋体" w:hint="eastAsia"/>
          <w:sz w:val="18"/>
          <w:szCs w:val="18"/>
        </w:rPr>
        <w:t>飞</w:t>
      </w:r>
      <w:proofErr w:type="gramEnd"/>
      <w:r>
        <w:rPr>
          <w:rFonts w:ascii="宋体" w:eastAsia="宋体" w:hAnsi="宋体" w:cs="宋体" w:hint="eastAsia"/>
          <w:sz w:val="18"/>
          <w:szCs w:val="18"/>
        </w:rPr>
        <w:t>：《美国无效辩护制度及其启示》，载《环球法律评论》</w:t>
      </w:r>
      <w:r>
        <w:rPr>
          <w:rFonts w:ascii="宋体" w:eastAsia="宋体" w:hAnsi="宋体" w:cs="宋体"/>
          <w:sz w:val="18"/>
          <w:szCs w:val="18"/>
        </w:rPr>
        <w:t>2011</w:t>
      </w:r>
      <w:r>
        <w:rPr>
          <w:rFonts w:ascii="宋体" w:eastAsia="宋体" w:hAnsi="宋体" w:cs="宋体" w:hint="eastAsia"/>
          <w:sz w:val="18"/>
          <w:szCs w:val="18"/>
        </w:rPr>
        <w:t>年第</w:t>
      </w:r>
      <w:r>
        <w:rPr>
          <w:rFonts w:ascii="宋体" w:eastAsia="宋体" w:hAnsi="宋体" w:cs="宋体"/>
          <w:sz w:val="18"/>
          <w:szCs w:val="18"/>
        </w:rPr>
        <w:t>5</w:t>
      </w:r>
      <w:r>
        <w:rPr>
          <w:rFonts w:ascii="宋体" w:eastAsia="宋体" w:hAnsi="宋体" w:cs="宋体" w:hint="eastAsia"/>
          <w:sz w:val="18"/>
          <w:szCs w:val="18"/>
        </w:rPr>
        <w:t>期，第</w:t>
      </w:r>
      <w:r>
        <w:rPr>
          <w:rFonts w:ascii="宋体" w:eastAsia="宋体" w:hAnsi="宋体" w:cs="宋体"/>
          <w:sz w:val="18"/>
          <w:szCs w:val="18"/>
        </w:rPr>
        <w:t>142-150</w:t>
      </w:r>
      <w:r>
        <w:rPr>
          <w:rFonts w:ascii="宋体" w:eastAsia="宋体" w:hAnsi="宋体" w:cs="宋体" w:hint="eastAsia"/>
          <w:sz w:val="18"/>
          <w:szCs w:val="18"/>
        </w:rPr>
        <w:t>页。</w:t>
      </w:r>
    </w:p>
  </w:footnote>
  <w:footnote w:id="4">
    <w:p w14:paraId="5F90258B" w14:textId="70263121" w:rsidR="00FD0A0E" w:rsidRPr="00937057" w:rsidRDefault="00000000" w:rsidP="00937057">
      <w:pPr>
        <w:keepLines/>
        <w:snapToGrid w:val="0"/>
        <w:spacing w:line="240" w:lineRule="auto"/>
        <w:ind w:firstLine="0"/>
        <w:rPr>
          <w:rFonts w:ascii="宋体" w:eastAsia="宋体" w:hAnsi="宋体" w:cs="宋体" w:hint="eastAsia"/>
          <w:sz w:val="18"/>
          <w:szCs w:val="18"/>
        </w:rPr>
      </w:pPr>
      <w:r>
        <w:rPr>
          <w:rFonts w:ascii="Calibri" w:eastAsia="宋体" w:hAnsi="Calibri" w:cs="Times New Roman"/>
          <w:sz w:val="18"/>
          <w:vertAlign w:val="superscript"/>
        </w:rPr>
        <w:footnoteRef/>
      </w:r>
      <w:r>
        <w:rPr>
          <w:rFonts w:ascii="宋体" w:eastAsia="宋体" w:hAnsi="宋体" w:cs="宋体"/>
          <w:sz w:val="18"/>
          <w:szCs w:val="18"/>
        </w:rPr>
        <w:t xml:space="preserve"> </w:t>
      </w:r>
      <w:r>
        <w:rPr>
          <w:rFonts w:ascii="宋体" w:eastAsia="宋体" w:hAnsi="宋体" w:cs="宋体" w:hint="eastAsia"/>
          <w:sz w:val="18"/>
          <w:szCs w:val="18"/>
        </w:rPr>
        <w:t>参见</w:t>
      </w:r>
      <w:r w:rsidR="00937057">
        <w:rPr>
          <w:rFonts w:ascii="宋体" w:eastAsia="宋体" w:hAnsi="宋体" w:cs="宋体" w:hint="eastAsia"/>
          <w:sz w:val="18"/>
          <w:szCs w:val="18"/>
        </w:rPr>
        <w:t>陈光中主编</w:t>
      </w:r>
      <w:r w:rsidR="00937057" w:rsidRPr="00937057">
        <w:rPr>
          <w:rFonts w:ascii="宋体" w:eastAsia="宋体" w:hAnsi="宋体" w:cs="宋体" w:hint="eastAsia"/>
          <w:sz w:val="18"/>
          <w:szCs w:val="18"/>
        </w:rPr>
        <w:t>：《</w:t>
      </w:r>
      <w:r w:rsidR="00937057">
        <w:rPr>
          <w:rFonts w:ascii="宋体" w:eastAsia="宋体" w:hAnsi="宋体" w:cs="宋体" w:hint="eastAsia"/>
          <w:sz w:val="18"/>
          <w:szCs w:val="18"/>
        </w:rPr>
        <w:t>刑事诉讼法</w:t>
      </w:r>
      <w:r w:rsidR="00937057" w:rsidRPr="00937057">
        <w:rPr>
          <w:rFonts w:ascii="宋体" w:eastAsia="宋体" w:hAnsi="宋体" w:cs="宋体" w:hint="eastAsia"/>
          <w:sz w:val="18"/>
          <w:szCs w:val="18"/>
        </w:rPr>
        <w:t>》</w:t>
      </w:r>
      <w:r w:rsidR="00937057">
        <w:rPr>
          <w:rFonts w:ascii="宋体" w:eastAsia="宋体" w:hAnsi="宋体" w:cs="宋体" w:hint="eastAsia"/>
          <w:sz w:val="18"/>
          <w:szCs w:val="18"/>
        </w:rPr>
        <w:t>（第七版）</w:t>
      </w:r>
      <w:r w:rsidR="00937057" w:rsidRPr="00937057">
        <w:rPr>
          <w:rFonts w:ascii="宋体" w:eastAsia="宋体" w:hAnsi="宋体" w:cs="宋体" w:hint="eastAsia"/>
          <w:sz w:val="18"/>
          <w:szCs w:val="18"/>
        </w:rPr>
        <w:t>，北京大学出版社</w:t>
      </w:r>
      <w:r w:rsidR="00937057">
        <w:rPr>
          <w:rFonts w:ascii="宋体" w:eastAsia="宋体" w:hAnsi="宋体" w:cs="宋体" w:hint="eastAsia"/>
          <w:sz w:val="18"/>
          <w:szCs w:val="18"/>
        </w:rPr>
        <w:t>2021</w:t>
      </w:r>
      <w:r w:rsidR="00937057" w:rsidRPr="00937057">
        <w:rPr>
          <w:rFonts w:ascii="宋体" w:eastAsia="宋体" w:hAnsi="宋体" w:cs="宋体" w:hint="eastAsia"/>
          <w:sz w:val="18"/>
          <w:szCs w:val="18"/>
        </w:rPr>
        <w:t>年版，第111、113页。</w:t>
      </w:r>
    </w:p>
  </w:footnote>
  <w:footnote w:id="5">
    <w:p w14:paraId="37FD2448" w14:textId="4B152D3B" w:rsidR="00FD0A0E" w:rsidRDefault="00000000" w:rsidP="00937057">
      <w:pPr>
        <w:keepLines/>
        <w:snapToGrid w:val="0"/>
        <w:spacing w:line="240" w:lineRule="auto"/>
        <w:ind w:firstLine="0"/>
        <w:rPr>
          <w:rFonts w:ascii="宋体" w:eastAsia="宋体" w:hAnsi="宋体" w:cs="宋体" w:hint="eastAsia"/>
          <w:sz w:val="18"/>
          <w:szCs w:val="18"/>
        </w:rPr>
      </w:pPr>
      <w:r>
        <w:rPr>
          <w:rFonts w:ascii="Calibri" w:eastAsia="宋体" w:hAnsi="Calibri" w:cs="Times New Roman"/>
          <w:sz w:val="18"/>
          <w:vertAlign w:val="superscript"/>
        </w:rPr>
        <w:footnoteRef/>
      </w:r>
      <w:r>
        <w:rPr>
          <w:rFonts w:ascii="宋体" w:eastAsia="宋体" w:hAnsi="宋体" w:cs="宋体"/>
          <w:sz w:val="18"/>
          <w:szCs w:val="18"/>
        </w:rPr>
        <w:t xml:space="preserve"> </w:t>
      </w:r>
      <w:r w:rsidR="00937057">
        <w:rPr>
          <w:rFonts w:ascii="宋体" w:eastAsia="宋体" w:hAnsi="宋体" w:cs="宋体" w:hint="eastAsia"/>
          <w:sz w:val="18"/>
          <w:szCs w:val="18"/>
        </w:rPr>
        <w:t>参见</w:t>
      </w:r>
      <w:r w:rsidR="00937057" w:rsidRPr="00937057">
        <w:rPr>
          <w:rFonts w:ascii="宋体" w:eastAsia="宋体" w:hAnsi="宋体" w:cs="宋体" w:hint="eastAsia"/>
          <w:sz w:val="18"/>
          <w:szCs w:val="18"/>
        </w:rPr>
        <w:t>肖晖：《中国判决理由的传统与现代转型——以民事判决为中心》，西南政法大学2005年博士学位论文，第118页</w:t>
      </w:r>
      <w:r w:rsidR="00937057">
        <w:rPr>
          <w:rFonts w:ascii="宋体" w:eastAsia="宋体" w:hAnsi="宋体" w:cs="宋体" w:hint="eastAsia"/>
          <w:sz w:val="18"/>
          <w:szCs w:val="18"/>
        </w:rPr>
        <w:t>。</w:t>
      </w:r>
    </w:p>
  </w:footnote>
  <w:footnote w:id="6">
    <w:p w14:paraId="0565AF62" w14:textId="650E7048" w:rsidR="00FD0A0E" w:rsidRDefault="00000000">
      <w:pPr>
        <w:keepLines/>
        <w:snapToGrid w:val="0"/>
        <w:spacing w:line="240" w:lineRule="auto"/>
        <w:ind w:firstLine="0"/>
        <w:rPr>
          <w:rFonts w:ascii="宋体" w:eastAsia="宋体" w:hAnsi="宋体" w:cs="宋体" w:hint="eastAsia"/>
          <w:sz w:val="18"/>
          <w:szCs w:val="18"/>
        </w:rPr>
      </w:pPr>
      <w:r>
        <w:rPr>
          <w:rFonts w:ascii="Calibri" w:eastAsia="宋体" w:hAnsi="Calibri" w:cs="Times New Roman"/>
          <w:sz w:val="18"/>
          <w:vertAlign w:val="superscript"/>
        </w:rPr>
        <w:footnoteRef/>
      </w:r>
      <w:r>
        <w:rPr>
          <w:rFonts w:ascii="宋体" w:eastAsia="宋体" w:hAnsi="宋体" w:cs="宋体"/>
          <w:sz w:val="18"/>
          <w:szCs w:val="18"/>
        </w:rPr>
        <w:t xml:space="preserve"> </w:t>
      </w:r>
      <w:r w:rsidR="00937057" w:rsidRPr="00937057">
        <w:rPr>
          <w:rFonts w:ascii="宋体" w:eastAsia="宋体" w:hAnsi="宋体" w:cs="宋体" w:hint="eastAsia"/>
          <w:sz w:val="18"/>
          <w:szCs w:val="18"/>
        </w:rPr>
        <w:t>参见冉孟勋：《从五方面入手审查认定“借新还旧”》，载《检察日报》</w:t>
      </w:r>
      <w:r w:rsidR="00937057">
        <w:rPr>
          <w:rFonts w:ascii="宋体" w:eastAsia="宋体" w:hAnsi="宋体" w:cs="宋体" w:hint="eastAsia"/>
          <w:sz w:val="18"/>
          <w:szCs w:val="18"/>
        </w:rPr>
        <w:t>2021</w:t>
      </w:r>
      <w:r w:rsidR="00937057" w:rsidRPr="00937057">
        <w:rPr>
          <w:rFonts w:ascii="宋体" w:eastAsia="宋体" w:hAnsi="宋体" w:cs="宋体" w:hint="eastAsia"/>
          <w:sz w:val="18"/>
          <w:szCs w:val="18"/>
        </w:rPr>
        <w:t>年</w:t>
      </w:r>
      <w:r w:rsidR="00937057">
        <w:rPr>
          <w:rFonts w:ascii="宋体" w:eastAsia="宋体" w:hAnsi="宋体" w:cs="宋体" w:hint="eastAsia"/>
          <w:sz w:val="18"/>
          <w:szCs w:val="18"/>
        </w:rPr>
        <w:t>8</w:t>
      </w:r>
      <w:r w:rsidR="00937057" w:rsidRPr="00937057">
        <w:rPr>
          <w:rFonts w:ascii="宋体" w:eastAsia="宋体" w:hAnsi="宋体" w:cs="宋体" w:hint="eastAsia"/>
          <w:sz w:val="18"/>
          <w:szCs w:val="18"/>
        </w:rPr>
        <w:t>月</w:t>
      </w:r>
      <w:r w:rsidR="00937057">
        <w:rPr>
          <w:rFonts w:ascii="宋体" w:eastAsia="宋体" w:hAnsi="宋体" w:cs="宋体" w:hint="eastAsia"/>
          <w:sz w:val="18"/>
          <w:szCs w:val="18"/>
        </w:rPr>
        <w:t>4</w:t>
      </w:r>
      <w:r w:rsidR="00937057" w:rsidRPr="00937057">
        <w:rPr>
          <w:rFonts w:ascii="宋体" w:eastAsia="宋体" w:hAnsi="宋体" w:cs="宋体" w:hint="eastAsia"/>
          <w:sz w:val="18"/>
          <w:szCs w:val="18"/>
        </w:rPr>
        <w:t>日第</w:t>
      </w:r>
      <w:r w:rsidR="00937057">
        <w:rPr>
          <w:rFonts w:ascii="宋体" w:eastAsia="宋体" w:hAnsi="宋体" w:cs="宋体" w:hint="eastAsia"/>
          <w:sz w:val="18"/>
          <w:szCs w:val="18"/>
        </w:rPr>
        <w:t>7</w:t>
      </w:r>
      <w:r w:rsidR="00937057" w:rsidRPr="00937057">
        <w:rPr>
          <w:rFonts w:ascii="宋体" w:eastAsia="宋体" w:hAnsi="宋体" w:cs="宋体" w:hint="eastAsia"/>
          <w:sz w:val="18"/>
          <w:szCs w:val="18"/>
        </w:rPr>
        <w:t>版。</w:t>
      </w:r>
    </w:p>
  </w:footnote>
  <w:footnote w:id="7">
    <w:p w14:paraId="2905F22F" w14:textId="77777777" w:rsidR="00FD0A0E" w:rsidRDefault="00000000">
      <w:pPr>
        <w:keepLines/>
        <w:snapToGrid w:val="0"/>
        <w:spacing w:line="240" w:lineRule="auto"/>
        <w:ind w:firstLine="0"/>
        <w:rPr>
          <w:rFonts w:ascii="宋体" w:eastAsia="宋体" w:hAnsi="宋体" w:cs="宋体" w:hint="eastAsia"/>
          <w:sz w:val="18"/>
          <w:szCs w:val="18"/>
        </w:rPr>
      </w:pPr>
      <w:r>
        <w:rPr>
          <w:rFonts w:ascii="Calibri" w:eastAsia="宋体" w:hAnsi="Calibri" w:cs="Times New Roman"/>
          <w:sz w:val="18"/>
          <w:vertAlign w:val="superscript"/>
        </w:rPr>
        <w:footnoteRef/>
      </w:r>
      <w:r>
        <w:rPr>
          <w:rFonts w:ascii="Times New Roman" w:eastAsia="宋体" w:hAnsi="Times New Roman" w:cs="Times New Roman"/>
          <w:sz w:val="18"/>
          <w:szCs w:val="18"/>
        </w:rPr>
        <w:t xml:space="preserve"> </w:t>
      </w:r>
      <w:r>
        <w:rPr>
          <w:rFonts w:ascii="宋体" w:eastAsia="宋体" w:hAnsi="宋体" w:cs="宋体"/>
          <w:sz w:val="18"/>
          <w:szCs w:val="18"/>
        </w:rPr>
        <w:t>Herbert A. Bloch and Frank T. Flynn</w:t>
      </w:r>
      <w:r>
        <w:rPr>
          <w:rFonts w:ascii="宋体" w:eastAsia="宋体" w:hAnsi="宋体" w:cs="宋体" w:hint="eastAsia"/>
          <w:sz w:val="18"/>
          <w:szCs w:val="18"/>
        </w:rPr>
        <w:t>，</w:t>
      </w:r>
      <w:proofErr w:type="spellStart"/>
      <w:r>
        <w:rPr>
          <w:rFonts w:ascii="宋体" w:eastAsia="宋体" w:hAnsi="宋体" w:cs="宋体"/>
          <w:sz w:val="18"/>
          <w:szCs w:val="18"/>
        </w:rPr>
        <w:t>Deliquency</w:t>
      </w:r>
      <w:proofErr w:type="spellEnd"/>
      <w:r>
        <w:rPr>
          <w:rFonts w:ascii="宋体" w:eastAsia="宋体" w:hAnsi="宋体" w:cs="宋体"/>
          <w:sz w:val="18"/>
          <w:szCs w:val="18"/>
        </w:rPr>
        <w:t>: The Juvenile Offender in America Today</w:t>
      </w:r>
      <w:r>
        <w:rPr>
          <w:rFonts w:ascii="宋体" w:eastAsia="宋体" w:hAnsi="宋体" w:cs="宋体" w:hint="eastAsia"/>
          <w:sz w:val="18"/>
          <w:szCs w:val="18"/>
        </w:rPr>
        <w:t>，</w:t>
      </w:r>
      <w:r>
        <w:rPr>
          <w:rFonts w:ascii="宋体" w:eastAsia="宋体" w:hAnsi="宋体" w:cs="宋体"/>
          <w:sz w:val="18"/>
          <w:szCs w:val="18"/>
        </w:rPr>
        <w:t>Random House</w:t>
      </w:r>
      <w:r>
        <w:rPr>
          <w:rFonts w:ascii="宋体" w:eastAsia="宋体" w:hAnsi="宋体" w:cs="宋体" w:hint="eastAsia"/>
          <w:sz w:val="18"/>
          <w:szCs w:val="18"/>
        </w:rPr>
        <w:t>，</w:t>
      </w:r>
      <w:r>
        <w:rPr>
          <w:rFonts w:ascii="宋体" w:eastAsia="宋体" w:hAnsi="宋体" w:cs="宋体"/>
          <w:sz w:val="18"/>
          <w:szCs w:val="18"/>
        </w:rPr>
        <w:t>1956</w:t>
      </w:r>
      <w:r>
        <w:rPr>
          <w:rFonts w:ascii="宋体" w:eastAsia="宋体" w:hAnsi="宋体" w:cs="宋体" w:hint="eastAsia"/>
          <w:sz w:val="18"/>
          <w:szCs w:val="18"/>
        </w:rPr>
        <w:t>，</w:t>
      </w:r>
      <w:r>
        <w:rPr>
          <w:rFonts w:ascii="宋体" w:eastAsia="宋体" w:hAnsi="宋体" w:cs="宋体"/>
          <w:sz w:val="18"/>
          <w:szCs w:val="18"/>
        </w:rPr>
        <w:t>p.305-325.</w:t>
      </w:r>
    </w:p>
  </w:footnote>
  <w:footnote w:id="8">
    <w:p w14:paraId="27876EE4" w14:textId="237D2CF3" w:rsidR="00FD0A0E" w:rsidRDefault="00000000">
      <w:pPr>
        <w:keepLines/>
        <w:snapToGrid w:val="0"/>
        <w:spacing w:line="240" w:lineRule="auto"/>
        <w:ind w:firstLine="0"/>
        <w:rPr>
          <w:rFonts w:ascii="宋体" w:eastAsia="宋体" w:hAnsi="宋体" w:cs="宋体" w:hint="eastAsia"/>
          <w:sz w:val="18"/>
          <w:szCs w:val="18"/>
        </w:rPr>
      </w:pPr>
      <w:r>
        <w:rPr>
          <w:rFonts w:ascii="Calibri" w:eastAsia="宋体" w:hAnsi="Calibri" w:cs="Times New Roman" w:hint="eastAsia"/>
          <w:sz w:val="18"/>
          <w:vertAlign w:val="superscript"/>
        </w:rPr>
        <w:footnoteRef/>
      </w:r>
      <w:r>
        <w:rPr>
          <w:rFonts w:ascii="宋体" w:eastAsia="宋体" w:hAnsi="宋体" w:cs="宋体" w:hint="eastAsia"/>
          <w:sz w:val="18"/>
          <w:szCs w:val="18"/>
        </w:rPr>
        <w:t xml:space="preserve"> </w:t>
      </w:r>
      <w:r w:rsidR="00937057" w:rsidRPr="00937057">
        <w:rPr>
          <w:rFonts w:ascii="宋体" w:eastAsia="宋体" w:hAnsi="宋体" w:cs="宋体" w:hint="eastAsia"/>
          <w:sz w:val="18"/>
          <w:szCs w:val="18"/>
        </w:rPr>
        <w:t>参见</w:t>
      </w:r>
      <w:r w:rsidR="00937057">
        <w:rPr>
          <w:rFonts w:ascii="宋体" w:eastAsia="宋体" w:hAnsi="宋体" w:cs="宋体" w:hint="eastAsia"/>
          <w:sz w:val="18"/>
          <w:szCs w:val="18"/>
        </w:rPr>
        <w:t>XX市XX区</w:t>
      </w:r>
      <w:r w:rsidR="00937057" w:rsidRPr="00937057">
        <w:rPr>
          <w:rFonts w:ascii="宋体" w:eastAsia="宋体" w:hAnsi="宋体" w:cs="宋体" w:hint="eastAsia"/>
          <w:sz w:val="18"/>
          <w:szCs w:val="18"/>
        </w:rPr>
        <w:t>（2015）</w:t>
      </w:r>
      <w:r w:rsidR="00937057">
        <w:rPr>
          <w:rFonts w:ascii="宋体" w:eastAsia="宋体" w:hAnsi="宋体" w:cs="宋体" w:hint="eastAsia"/>
          <w:sz w:val="18"/>
          <w:szCs w:val="18"/>
        </w:rPr>
        <w:t>X</w:t>
      </w:r>
      <w:r w:rsidR="00937057" w:rsidRPr="00937057">
        <w:rPr>
          <w:rFonts w:ascii="宋体" w:eastAsia="宋体" w:hAnsi="宋体" w:cs="宋体" w:hint="eastAsia"/>
          <w:sz w:val="18"/>
          <w:szCs w:val="18"/>
        </w:rPr>
        <w:t>刑初字第</w:t>
      </w:r>
      <w:r w:rsidR="00937057">
        <w:rPr>
          <w:rFonts w:ascii="宋体" w:eastAsia="宋体" w:hAnsi="宋体" w:cs="宋体" w:hint="eastAsia"/>
          <w:sz w:val="18"/>
          <w:szCs w:val="18"/>
        </w:rPr>
        <w:t>XX</w:t>
      </w:r>
      <w:r w:rsidR="00937057" w:rsidRPr="00937057">
        <w:rPr>
          <w:rFonts w:ascii="宋体" w:eastAsia="宋体" w:hAnsi="宋体" w:cs="宋体" w:hint="eastAsia"/>
          <w:sz w:val="18"/>
          <w:szCs w:val="18"/>
        </w:rPr>
        <w:t>号一审刑事判决书。</w:t>
      </w:r>
    </w:p>
  </w:footnote>
  <w:footnote w:id="9">
    <w:p w14:paraId="5642FBDA" w14:textId="77777777" w:rsidR="00FD0A0E" w:rsidRDefault="00000000">
      <w:pPr>
        <w:keepLines/>
        <w:snapToGrid w:val="0"/>
        <w:spacing w:line="240" w:lineRule="auto"/>
        <w:ind w:firstLine="0"/>
        <w:rPr>
          <w:rFonts w:ascii="宋体" w:eastAsia="宋体" w:hAnsi="宋体" w:cs="宋体" w:hint="eastAsia"/>
          <w:sz w:val="18"/>
          <w:szCs w:val="18"/>
        </w:rPr>
      </w:pPr>
      <w:r>
        <w:rPr>
          <w:rFonts w:ascii="Calibri" w:eastAsia="宋体" w:hAnsi="Calibri" w:cs="Times New Roman"/>
          <w:sz w:val="18"/>
          <w:vertAlign w:val="superscript"/>
        </w:rPr>
        <w:footnoteRef/>
      </w:r>
      <w:r>
        <w:rPr>
          <w:rFonts w:ascii="宋体" w:eastAsia="宋体" w:hAnsi="宋体" w:cs="宋体"/>
          <w:sz w:val="18"/>
          <w:szCs w:val="18"/>
        </w:rPr>
        <w:t xml:space="preserve"> </w:t>
      </w:r>
      <w:proofErr w:type="gramStart"/>
      <w:r>
        <w:rPr>
          <w:rFonts w:ascii="宋体" w:eastAsia="宋体" w:hAnsi="宋体" w:cs="宋体" w:hint="eastAsia"/>
          <w:sz w:val="18"/>
          <w:szCs w:val="18"/>
        </w:rPr>
        <w:t>“</w:t>
      </w:r>
      <w:proofErr w:type="gramEnd"/>
      <w:r>
        <w:rPr>
          <w:rFonts w:ascii="宋体" w:eastAsia="宋体" w:hAnsi="宋体" w:cs="宋体" w:hint="eastAsia"/>
          <w:sz w:val="18"/>
          <w:szCs w:val="18"/>
        </w:rPr>
        <w:t>北京青少年法律援助与研究中心联合北京中致儿童关爱基金会，共同发起“全国守护受暴儿童志愿律师能力建设项目”。本项目将通过开展专题培训、个案指导、经验交流、小额爱心资助、办案资金支持等多种方式，不断提升志愿律师的专业能力，为遭受暴力伤害的儿童提供更加专业的法律帮助，维护受</w:t>
      </w:r>
      <w:proofErr w:type="gramStart"/>
      <w:r>
        <w:rPr>
          <w:rFonts w:ascii="宋体" w:eastAsia="宋体" w:hAnsi="宋体" w:cs="宋体" w:hint="eastAsia"/>
          <w:sz w:val="18"/>
          <w:szCs w:val="18"/>
        </w:rPr>
        <w:t>暴儿童</w:t>
      </w:r>
      <w:proofErr w:type="gramEnd"/>
      <w:r>
        <w:rPr>
          <w:rFonts w:ascii="宋体" w:eastAsia="宋体" w:hAnsi="宋体" w:cs="宋体" w:hint="eastAsia"/>
          <w:sz w:val="18"/>
          <w:szCs w:val="18"/>
        </w:rPr>
        <w:t>的合法权益，助力他们健康成长。</w:t>
      </w:r>
      <w:proofErr w:type="gramStart"/>
      <w:r>
        <w:rPr>
          <w:rFonts w:ascii="宋体" w:eastAsia="宋体" w:hAnsi="宋体" w:cs="宋体" w:hint="eastAsia"/>
          <w:sz w:val="18"/>
          <w:szCs w:val="18"/>
        </w:rPr>
        <w:t>”</w:t>
      </w:r>
      <w:proofErr w:type="gramEnd"/>
      <w:r>
        <w:rPr>
          <w:rFonts w:ascii="宋体" w:eastAsia="宋体" w:hAnsi="宋体" w:cs="宋体" w:hint="eastAsia"/>
          <w:sz w:val="18"/>
          <w:szCs w:val="18"/>
        </w:rPr>
        <w:t>参见肖利娜：《专业支持，资金补贴！欢迎爱心律师参与守护受暴儿童项目》，访问链接：</w:t>
      </w:r>
      <w:r>
        <w:rPr>
          <w:rFonts w:ascii="宋体" w:eastAsia="宋体" w:hAnsi="宋体" w:cs="宋体"/>
          <w:sz w:val="18"/>
          <w:szCs w:val="18"/>
        </w:rPr>
        <w:t>https://chinachild.org/%E4%B8%93%E4%B8%9A%E6%94%AF%E6%8C%81%EF%BC%8C%E8%B5%84%E9%87%91%E8%A1%A5%E8%B4%B4%EF%BC%81%E6%AC%A2%E8%BF%8E%E7%88%B1%E5%BF%83%E5%BE%8B%E5%B8%88%E5%8F%82%E4%B8%8E%E5%AE%88%E6%8A%A4%E5%8F%97%E6%9A%B4/</w:t>
      </w:r>
      <w:r>
        <w:rPr>
          <w:rFonts w:ascii="宋体" w:eastAsia="宋体" w:hAnsi="宋体" w:cs="宋体" w:hint="eastAsia"/>
          <w:sz w:val="18"/>
          <w:szCs w:val="18"/>
        </w:rPr>
        <w:t>，最后访问时间：</w:t>
      </w:r>
      <w:r>
        <w:rPr>
          <w:rFonts w:ascii="宋体" w:eastAsia="宋体" w:hAnsi="宋体" w:cs="宋体"/>
          <w:sz w:val="18"/>
          <w:szCs w:val="18"/>
        </w:rPr>
        <w:t>2024</w:t>
      </w:r>
      <w:r>
        <w:rPr>
          <w:rFonts w:ascii="宋体" w:eastAsia="宋体" w:hAnsi="宋体" w:cs="宋体" w:hint="eastAsia"/>
          <w:sz w:val="18"/>
          <w:szCs w:val="18"/>
        </w:rPr>
        <w:t>年</w:t>
      </w:r>
      <w:r>
        <w:rPr>
          <w:rFonts w:ascii="宋体" w:eastAsia="宋体" w:hAnsi="宋体" w:cs="宋体"/>
          <w:sz w:val="18"/>
          <w:szCs w:val="18"/>
        </w:rPr>
        <w:t>08</w:t>
      </w:r>
      <w:r>
        <w:rPr>
          <w:rFonts w:ascii="宋体" w:eastAsia="宋体" w:hAnsi="宋体" w:cs="宋体" w:hint="eastAsia"/>
          <w:sz w:val="18"/>
          <w:szCs w:val="18"/>
        </w:rPr>
        <w:t>月</w:t>
      </w:r>
      <w:r>
        <w:rPr>
          <w:rFonts w:ascii="宋体" w:eastAsia="宋体" w:hAnsi="宋体" w:cs="宋体"/>
          <w:sz w:val="18"/>
          <w:szCs w:val="18"/>
        </w:rPr>
        <w:t>18</w:t>
      </w:r>
      <w:r>
        <w:rPr>
          <w:rFonts w:ascii="宋体" w:eastAsia="宋体" w:hAnsi="宋体" w:cs="宋体" w:hint="eastAsia"/>
          <w:sz w:val="18"/>
          <w:szCs w:val="18"/>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2E5013"/>
    <w:multiLevelType w:val="singleLevel"/>
    <w:tmpl w:val="762E5013"/>
    <w:lvl w:ilvl="0">
      <w:start w:val="1"/>
      <w:numFmt w:val="decimal"/>
      <w:suff w:val="space"/>
      <w:lvlText w:val="%1."/>
      <w:lvlJc w:val="left"/>
    </w:lvl>
  </w:abstractNum>
  <w:num w:numId="1" w16cid:durableId="20870671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少年司法专委会会务组">
    <w15:presenceInfo w15:providerId="None" w15:userId="少年司法专委会会务组"/>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5DEF951"/>
    <w:rsid w:val="FED75EE8"/>
    <w:rsid w:val="000220BF"/>
    <w:rsid w:val="000C7DE9"/>
    <w:rsid w:val="000F4105"/>
    <w:rsid w:val="00165D07"/>
    <w:rsid w:val="00166371"/>
    <w:rsid w:val="001C55C2"/>
    <w:rsid w:val="001D61D0"/>
    <w:rsid w:val="00215ABD"/>
    <w:rsid w:val="00323FFB"/>
    <w:rsid w:val="00330909"/>
    <w:rsid w:val="00367FC5"/>
    <w:rsid w:val="003E2619"/>
    <w:rsid w:val="004611B3"/>
    <w:rsid w:val="004A1DA3"/>
    <w:rsid w:val="005477A7"/>
    <w:rsid w:val="006B2710"/>
    <w:rsid w:val="0081571E"/>
    <w:rsid w:val="008836A4"/>
    <w:rsid w:val="00933942"/>
    <w:rsid w:val="00937057"/>
    <w:rsid w:val="00953170"/>
    <w:rsid w:val="00A7695B"/>
    <w:rsid w:val="00B6479B"/>
    <w:rsid w:val="00B651D9"/>
    <w:rsid w:val="00BE1AAC"/>
    <w:rsid w:val="00C3547D"/>
    <w:rsid w:val="00C74529"/>
    <w:rsid w:val="00D17C7E"/>
    <w:rsid w:val="00E0386B"/>
    <w:rsid w:val="00E94247"/>
    <w:rsid w:val="00ED2B1E"/>
    <w:rsid w:val="00FC75CF"/>
    <w:rsid w:val="00FD0A0E"/>
    <w:rsid w:val="5EC8FC0F"/>
    <w:rsid w:val="75DEF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88A16"/>
  <w15:docId w15:val="{7BACFEB0-053C-4A26-AC9E-E4C3CDB8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nhideWhenUsed="1" w:qFormat="1"/>
    <w:lsdException w:name="caption" w:semiHidden="1" w:unhideWhenUsed="1" w:qFormat="1"/>
    <w:lsdException w:name="footnote reference" w:unhideWhenUsed="1" w:qFormat="1"/>
    <w:lsdException w:name="Title" w:uiPriority="10"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ordWrap w:val="0"/>
      <w:topLinePunct/>
      <w:spacing w:line="400" w:lineRule="exact"/>
      <w:ind w:firstLine="420"/>
      <w:jc w:val="both"/>
    </w:pPr>
    <w:rPr>
      <w:kern w:val="2"/>
      <w:sz w:val="21"/>
      <w:szCs w:val="24"/>
    </w:rPr>
  </w:style>
  <w:style w:type="paragraph" w:styleId="1">
    <w:name w:val="heading 1"/>
    <w:basedOn w:val="a"/>
    <w:next w:val="a0"/>
    <w:uiPriority w:val="9"/>
    <w:qFormat/>
    <w:pPr>
      <w:spacing w:before="120" w:after="120"/>
      <w:ind w:firstLine="0"/>
      <w:jc w:val="center"/>
      <w:outlineLvl w:val="0"/>
    </w:pPr>
    <w:rPr>
      <w:rFonts w:ascii="宋体" w:eastAsia="宋体" w:hAnsi="宋体" w:cs="宋体"/>
      <w:b/>
      <w:bCs/>
      <w:kern w:val="44"/>
      <w:sz w:val="32"/>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内容"/>
    <w:qFormat/>
    <w:pPr>
      <w:widowControl w:val="0"/>
      <w:spacing w:line="360" w:lineRule="auto"/>
      <w:ind w:firstLineChars="200" w:firstLine="200"/>
      <w:textAlignment w:val="top"/>
    </w:pPr>
    <w:rPr>
      <w:rFonts w:asciiTheme="majorHAnsi" w:eastAsiaTheme="majorEastAsia" w:hAnsiTheme="majorHAnsi" w:cstheme="majorBidi"/>
      <w:bCs/>
      <w:kern w:val="2"/>
      <w:sz w:val="21"/>
      <w:szCs w:val="32"/>
    </w:rPr>
  </w:style>
  <w:style w:type="paragraph" w:styleId="a4">
    <w:name w:val="annotation text"/>
    <w:basedOn w:val="a"/>
    <w:link w:val="a5"/>
    <w:pPr>
      <w:jc w:val="left"/>
    </w:pPr>
  </w:style>
  <w:style w:type="paragraph" w:styleId="a6">
    <w:name w:val="footer"/>
    <w:basedOn w:val="a"/>
    <w:link w:val="a7"/>
    <w:pPr>
      <w:tabs>
        <w:tab w:val="center" w:pos="4153"/>
        <w:tab w:val="right" w:pos="8306"/>
      </w:tabs>
      <w:snapToGrid w:val="0"/>
      <w:spacing w:line="240" w:lineRule="atLeast"/>
      <w:jc w:val="left"/>
    </w:pPr>
    <w:rPr>
      <w:sz w:val="18"/>
      <w:szCs w:val="18"/>
    </w:rPr>
  </w:style>
  <w:style w:type="paragraph" w:styleId="a8">
    <w:name w:val="header"/>
    <w:basedOn w:val="a"/>
    <w:link w:val="a9"/>
    <w:pPr>
      <w:tabs>
        <w:tab w:val="center" w:pos="4153"/>
        <w:tab w:val="right" w:pos="8306"/>
      </w:tabs>
      <w:snapToGrid w:val="0"/>
      <w:spacing w:line="240" w:lineRule="atLeast"/>
      <w:jc w:val="center"/>
    </w:pPr>
    <w:rPr>
      <w:sz w:val="18"/>
      <w:szCs w:val="18"/>
    </w:rPr>
  </w:style>
  <w:style w:type="paragraph" w:styleId="aa">
    <w:name w:val="footnote text"/>
    <w:basedOn w:val="a"/>
    <w:unhideWhenUsed/>
    <w:qFormat/>
    <w:pPr>
      <w:keepLines/>
      <w:snapToGrid w:val="0"/>
      <w:spacing w:line="240" w:lineRule="auto"/>
      <w:ind w:firstLine="0"/>
    </w:pPr>
    <w:rPr>
      <w:rFonts w:ascii="宋体" w:eastAsia="宋体" w:hAnsi="宋体" w:cs="宋体"/>
      <w:sz w:val="18"/>
      <w:szCs w:val="18"/>
    </w:rPr>
  </w:style>
  <w:style w:type="paragraph" w:styleId="ab">
    <w:name w:val="Title"/>
    <w:basedOn w:val="a"/>
    <w:next w:val="a0"/>
    <w:uiPriority w:val="10"/>
    <w:qFormat/>
    <w:pPr>
      <w:spacing w:before="240" w:after="240"/>
      <w:ind w:firstLine="0"/>
      <w:jc w:val="center"/>
    </w:pPr>
    <w:rPr>
      <w:rFonts w:ascii="宋体" w:eastAsia="宋体" w:hAnsi="宋体" w:cs="Times New Roman"/>
      <w:b/>
      <w:bCs/>
      <w:sz w:val="24"/>
      <w:szCs w:val="32"/>
      <w:lang w:eastAsia="zh-Hans"/>
    </w:rPr>
  </w:style>
  <w:style w:type="paragraph" w:styleId="ac">
    <w:name w:val="annotation subject"/>
    <w:basedOn w:val="a4"/>
    <w:next w:val="a4"/>
    <w:link w:val="ad"/>
    <w:rPr>
      <w:b/>
      <w:bCs/>
    </w:rPr>
  </w:style>
  <w:style w:type="character" w:styleId="ae">
    <w:name w:val="Hyperlink"/>
    <w:basedOn w:val="a1"/>
    <w:rPr>
      <w:color w:val="0026E5" w:themeColor="hyperlink"/>
      <w:u w:val="single"/>
    </w:rPr>
  </w:style>
  <w:style w:type="character" w:styleId="af">
    <w:name w:val="annotation reference"/>
    <w:basedOn w:val="a1"/>
    <w:rPr>
      <w:sz w:val="21"/>
      <w:szCs w:val="21"/>
    </w:rPr>
  </w:style>
  <w:style w:type="character" w:styleId="af0">
    <w:name w:val="footnote reference"/>
    <w:basedOn w:val="a1"/>
    <w:unhideWhenUsed/>
    <w:qFormat/>
    <w:rPr>
      <w:rFonts w:eastAsia="宋体"/>
      <w:sz w:val="18"/>
      <w:vertAlign w:val="superscript"/>
    </w:rPr>
  </w:style>
  <w:style w:type="paragraph" w:customStyle="1" w:styleId="af1">
    <w:name w:val="作者"/>
    <w:basedOn w:val="a"/>
    <w:qFormat/>
    <w:pPr>
      <w:jc w:val="center"/>
    </w:pPr>
    <w:rPr>
      <w:rFonts w:ascii="Helvetica Neue" w:eastAsia="楷体" w:hAnsi="Helvetica Neue" w:cs="Times New Roman"/>
      <w:kern w:val="0"/>
      <w:sz w:val="24"/>
      <w:szCs w:val="28"/>
    </w:rPr>
  </w:style>
  <w:style w:type="paragraph" w:customStyle="1" w:styleId="af2">
    <w:name w:val="摘要和关键词正文"/>
    <w:basedOn w:val="a"/>
    <w:qFormat/>
    <w:rPr>
      <w:rFonts w:ascii=".pingfang sc" w:eastAsia="楷体" w:hAnsi=".pingfang sc" w:cs="Times New Roman"/>
      <w:kern w:val="0"/>
      <w:szCs w:val="28"/>
    </w:rPr>
  </w:style>
  <w:style w:type="paragraph" w:customStyle="1" w:styleId="af3">
    <w:name w:val="二级标题"/>
    <w:basedOn w:val="a"/>
    <w:autoRedefine/>
    <w:qFormat/>
    <w:pPr>
      <w:ind w:left="420" w:firstLine="0"/>
    </w:pPr>
    <w:rPr>
      <w:rFonts w:ascii="宋体" w:eastAsia="宋体" w:hAnsi="宋体" w:cs="宋体"/>
      <w:b/>
    </w:rPr>
  </w:style>
  <w:style w:type="character" w:customStyle="1" w:styleId="a9">
    <w:name w:val="页眉 字符"/>
    <w:basedOn w:val="a1"/>
    <w:link w:val="a8"/>
    <w:rPr>
      <w:kern w:val="2"/>
      <w:sz w:val="18"/>
      <w:szCs w:val="18"/>
    </w:rPr>
  </w:style>
  <w:style w:type="character" w:customStyle="1" w:styleId="a7">
    <w:name w:val="页脚 字符"/>
    <w:basedOn w:val="a1"/>
    <w:link w:val="a6"/>
    <w:rPr>
      <w:kern w:val="2"/>
      <w:sz w:val="18"/>
      <w:szCs w:val="18"/>
    </w:rPr>
  </w:style>
  <w:style w:type="character" w:customStyle="1" w:styleId="10">
    <w:name w:val="未处理的提及1"/>
    <w:basedOn w:val="a1"/>
    <w:uiPriority w:val="99"/>
    <w:semiHidden/>
    <w:unhideWhenUsed/>
    <w:rPr>
      <w:color w:val="605E5C"/>
      <w:shd w:val="clear" w:color="auto" w:fill="E1DFDD"/>
    </w:rPr>
  </w:style>
  <w:style w:type="character" w:customStyle="1" w:styleId="a5">
    <w:name w:val="批注文字 字符"/>
    <w:basedOn w:val="a1"/>
    <w:link w:val="a4"/>
    <w:rPr>
      <w:kern w:val="2"/>
      <w:sz w:val="21"/>
      <w:szCs w:val="24"/>
    </w:rPr>
  </w:style>
  <w:style w:type="character" w:customStyle="1" w:styleId="ad">
    <w:name w:val="批注主题 字符"/>
    <w:basedOn w:val="a5"/>
    <w:link w:val="ac"/>
    <w:rPr>
      <w:b/>
      <w:bCs/>
      <w:kern w:val="2"/>
      <w:sz w:val="21"/>
      <w:szCs w:val="24"/>
    </w:rPr>
  </w:style>
  <w:style w:type="character" w:styleId="af4">
    <w:name w:val="Unresolved Mention"/>
    <w:basedOn w:val="a1"/>
    <w:uiPriority w:val="99"/>
    <w:semiHidden/>
    <w:unhideWhenUsed/>
    <w:rsid w:val="00BE1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E1D7AA26-5318-413B-A1F0-87290E8E1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1310</Words>
  <Characters>1338</Characters>
  <Application>Microsoft Office Word</Application>
  <DocSecurity>0</DocSecurity>
  <Lines>43</Lines>
  <Paragraphs>21</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c:creator>
  <cp:lastModifiedBy>少年司法专委会会务组</cp:lastModifiedBy>
  <cp:revision>12</cp:revision>
  <dcterms:created xsi:type="dcterms:W3CDTF">2025-04-03T06:04:00Z</dcterms:created>
  <dcterms:modified xsi:type="dcterms:W3CDTF">2025-04-03T04:48:00Z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72F754873BA2FFE66553ED67B12AC548_43</vt:lpwstr>
  </property>
</Properties>
</file>