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sz w:val="28"/>
          <w:szCs w:val="28"/>
        </w:rPr>
      </w:pPr>
    </w:p>
    <w:p>
      <w:pPr>
        <w:snapToGrid w:val="0"/>
        <w:spacing w:line="480" w:lineRule="auto"/>
        <w:jc w:val="center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36"/>
          <w:szCs w:val="36"/>
        </w:rPr>
        <w:t>“中国特色行政检察理论研究”联合征文获奖名单</w:t>
      </w:r>
    </w:p>
    <w:tbl>
      <w:tblPr>
        <w:tblStyle w:val="3"/>
        <w:tblpPr w:leftFromText="180" w:rightFromText="180" w:vertAnchor="text" w:horzAnchor="page" w:tblpX="1479" w:tblpY="626"/>
        <w:tblOverlap w:val="never"/>
        <w:tblW w:w="98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3359"/>
        <w:gridCol w:w="1397"/>
      </w:tblGrid>
      <w:tr>
        <w:trPr>
          <w:trHeight w:val="853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论文名称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作者单位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</w:tr>
      <w:tr>
        <w:trPr>
          <w:trHeight w:val="925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行政违法行为检察监督的范围与边界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北京市人民检察院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蓝向东  张怡铮</w:t>
            </w:r>
          </w:p>
        </w:tc>
      </w:tr>
      <w:tr>
        <w:trPr>
          <w:trHeight w:val="925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行政违法行为检察监督应注意的三个维度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江苏省人民检察院、南京市人民检察院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陶国中 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浩</w:t>
            </w:r>
          </w:p>
        </w:tc>
      </w:tr>
      <w:tr>
        <w:trPr>
          <w:trHeight w:val="853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行政检察数字化的现实图景及发展路径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浙江财经大学法学院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冯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姣</w:t>
            </w:r>
          </w:p>
        </w:tc>
      </w:tr>
      <w:tr>
        <w:trPr>
          <w:trHeight w:val="925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数字政府时代行政检察的价值显现、监督难题与方法论迭代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中南财经政法大学国家治理学院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张演锋</w:t>
            </w:r>
          </w:p>
        </w:tc>
      </w:tr>
      <w:tr>
        <w:trPr>
          <w:trHeight w:val="925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行政检察能动履职的理论证成与实践探索——以行政争议实质性化解为视角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江苏省高邮市人民检察院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汪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赢 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徐秀雯</w:t>
            </w:r>
          </w:p>
        </w:tc>
      </w:tr>
      <w:tr>
        <w:trPr>
          <w:trHeight w:val="925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强化行政诉争治理背景下行政检察制度的审慎调适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华南理工大学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陈家勋</w:t>
            </w:r>
          </w:p>
        </w:tc>
      </w:tr>
      <w:tr>
        <w:trPr>
          <w:trHeight w:val="925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行政检察三层次监督法的初步构建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上海市浦东新区人民检察院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舒平安</w:t>
            </w:r>
          </w:p>
        </w:tc>
      </w:tr>
      <w:tr>
        <w:trPr>
          <w:trHeight w:val="925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行刑反向衔接：行政违法行为检察监督制度的法治化进路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北京市人民检察院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张昊天</w:t>
            </w:r>
          </w:p>
        </w:tc>
      </w:tr>
      <w:tr>
        <w:trPr>
          <w:trHeight w:val="853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监督行政权检察建议的法治化路径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上海市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人民</w:t>
            </w:r>
            <w:r>
              <w:rPr>
                <w:rFonts w:hint="eastAsia"/>
                <w:sz w:val="28"/>
                <w:szCs w:val="28"/>
              </w:rPr>
              <w:t>检察院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倪佳祎</w:t>
            </w:r>
          </w:p>
        </w:tc>
      </w:tr>
      <w:tr>
        <w:trPr>
          <w:trHeight w:val="937" w:hRule="atLeast"/>
        </w:trPr>
        <w:tc>
          <w:tcPr>
            <w:tcW w:w="510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非诉行政执行裁执分离模式的理据、建构与监督</w:t>
            </w:r>
          </w:p>
        </w:tc>
        <w:tc>
          <w:tcPr>
            <w:tcW w:w="335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内蒙古自治区海拉尔铁路运输检察院</w:t>
            </w:r>
          </w:p>
        </w:tc>
        <w:tc>
          <w:tcPr>
            <w:tcW w:w="0" w:type="auto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陈羽枫</w:t>
            </w:r>
          </w:p>
        </w:tc>
      </w:tr>
    </w:tbl>
    <w:p>
      <w:pPr>
        <w:jc w:val="center"/>
        <w:rPr>
          <w:rFonts w:hint="eastAsia"/>
        </w:rPr>
      </w:pPr>
      <w:r>
        <w:rPr>
          <w:rFonts w:hint="eastAsia" w:eastAsia="黑体"/>
          <w:sz w:val="28"/>
          <w:szCs w:val="28"/>
          <w:lang w:val="en-US" w:eastAsia="zh-CN"/>
        </w:rPr>
        <w:t>一等奖获奖名单</w:t>
      </w:r>
    </w:p>
    <w:p/>
    <w:p/>
    <w:p>
      <w:pPr>
        <w:jc w:val="center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 xml:space="preserve">    </w:t>
      </w:r>
    </w:p>
    <w:p>
      <w:pPr>
        <w:jc w:val="left"/>
        <w:rPr>
          <w:rFonts w:hint="eastAsia" w:eastAsia="黑体"/>
          <w:sz w:val="28"/>
          <w:szCs w:val="28"/>
          <w:lang w:val="en-US" w:eastAsia="zh-CN"/>
        </w:rPr>
      </w:pPr>
    </w:p>
    <w:p>
      <w:pPr>
        <w:jc w:val="center"/>
        <w:rPr>
          <w:rFonts w:hint="eastAsia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val="en-US" w:eastAsia="zh-CN"/>
        </w:rPr>
        <w:t>二等奖获奖名单</w:t>
      </w:r>
    </w:p>
    <w:tbl>
      <w:tblPr>
        <w:tblStyle w:val="2"/>
        <w:tblW w:w="98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3"/>
        <w:gridCol w:w="3269"/>
        <w:gridCol w:w="2286"/>
      </w:tblGrid>
      <w:tr>
        <w:trPr>
          <w:trHeight w:val="94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论文名称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作者单位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</w:tr>
      <w:tr>
        <w:trPr>
          <w:trHeight w:val="789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行政公诉在行政权全流程闭环监督体系中的价值及运行路径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福建省南平市人民检察院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曾传红</w:t>
            </w:r>
            <w:r>
              <w:rPr>
                <w:rFonts w:hint="eastAsia"/>
                <w:sz w:val="28"/>
                <w:szCs w:val="28"/>
                <w:lang w:eastAsia="zh-CN"/>
              </w:rPr>
              <w:t>、孙潇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监督与支持：论强制隔离戒毒检察监督制度的构建与完善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江苏省人民检察院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周合星 张珊珊</w:t>
            </w:r>
          </w:p>
        </w:tc>
      </w:tr>
      <w:tr>
        <w:trPr>
          <w:trHeight w:val="276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“在履行法律监督职责中发现”：行政违法行为检察监督的权力边界与拓展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北京市昌平区人民检察院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赵世勋 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管雪绒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数字行政检察的体系定位与实证检视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江西财经大学法学院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方颉琳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公益诉讼领域检察谦抑之批判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郑州大学检察公益诉讼研究院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崔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玮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检察监督介入行政违法行为场域之路径设计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江苏省徐州经济技术开发区人民检察院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张峰振 </w:t>
            </w:r>
          </w:p>
          <w:p>
            <w:pPr>
              <w:spacing w:line="40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吕青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张晨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行政执法和刑事司法反向衔接中若干实务问题探讨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江苏省泰州市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人民</w:t>
            </w:r>
            <w:r>
              <w:rPr>
                <w:rFonts w:hint="eastAsia"/>
                <w:sz w:val="28"/>
                <w:szCs w:val="28"/>
              </w:rPr>
              <w:t>检察院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华为民  户恩波 付伟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跨行政区划改革背景下行政检察监督的完善与发展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北京市人民检察院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第四分院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常国锋 刘长江 陈佳宁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防范公共数据开放风险的数字检察机制构造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北京物资学院法学院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郭如愿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合规监管体系化构造视野下的刑行衔接研究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合肥工业大学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冯科臻</w:t>
            </w:r>
          </w:p>
        </w:tc>
      </w:tr>
      <w:tr>
        <w:trPr>
          <w:trHeight w:val="276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企业合规在行刑反向衔接中的导入研究——以合作治理为背景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上海市徐汇区人民检察院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陆静 王剑冰</w:t>
            </w:r>
          </w:p>
        </w:tc>
      </w:tr>
      <w:tr>
        <w:trPr>
          <w:trHeight w:val="1040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检察机关主导涉案企业合规改革的时代价值、逻辑体系和实践进路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eastAsia="宋体-简"/>
                <w:sz w:val="28"/>
                <w:szCs w:val="28"/>
              </w:rPr>
              <w:t>辽宁省高级人民法院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黄喆</w:t>
            </w:r>
          </w:p>
        </w:tc>
      </w:tr>
      <w:tr>
        <w:trPr>
          <w:trHeight w:val="185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ChatGPT提升行政检察工作质效研究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宋体-简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山东省聊城市人民检察院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付树文  丁广立</w:t>
            </w:r>
          </w:p>
        </w:tc>
      </w:tr>
      <w:tr>
        <w:trPr>
          <w:trHeight w:val="94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default" w:eastAsia="宋体"/>
                <w:b w:val="0"/>
                <w:bCs w:val="0"/>
                <w:sz w:val="28"/>
                <w:szCs w:val="28"/>
                <w:lang w:val="en-US" w:eastAsia="zh-CN"/>
              </w:rPr>
              <w:t>检察机关促进行政争议实质性化解之立法思考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贵州省</w:t>
            </w:r>
            <w:r>
              <w:rPr>
                <w:rFonts w:hint="eastAsia"/>
                <w:sz w:val="28"/>
                <w:szCs w:val="28"/>
              </w:rPr>
              <w:t>贵阳市人民检察院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default" w:eastAsia="宋体"/>
                <w:b w:val="0"/>
                <w:bCs w:val="0"/>
                <w:sz w:val="28"/>
                <w:szCs w:val="28"/>
                <w:lang w:val="en-US" w:eastAsia="zh-CN"/>
              </w:rPr>
              <w:t>李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eastAsia="宋体"/>
                <w:b w:val="0"/>
                <w:bCs w:val="0"/>
                <w:sz w:val="28"/>
                <w:szCs w:val="28"/>
                <w:lang w:val="en-US" w:eastAsia="zh-CN"/>
              </w:rPr>
              <w:t>芳</w:t>
            </w:r>
          </w:p>
        </w:tc>
      </w:tr>
      <w:tr>
        <w:trPr>
          <w:trHeight w:val="187" w:hRule="atLeast"/>
          <w:jc w:val="center"/>
        </w:trPr>
        <w:tc>
          <w:tcPr>
            <w:tcW w:w="4263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default" w:eastAsia="宋体"/>
                <w:b w:val="0"/>
                <w:bCs w:val="0"/>
                <w:sz w:val="28"/>
                <w:szCs w:val="28"/>
                <w:lang w:val="en-US" w:eastAsia="zh-CN"/>
              </w:rPr>
              <w:t>检察机关推动实质性化解行政争议研究</w:t>
            </w:r>
          </w:p>
        </w:tc>
        <w:tc>
          <w:tcPr>
            <w:tcW w:w="326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北京市人民检察院第三分院</w:t>
            </w:r>
          </w:p>
        </w:tc>
        <w:tc>
          <w:tcPr>
            <w:tcW w:w="2286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吕萍</w:t>
            </w:r>
          </w:p>
        </w:tc>
      </w:tr>
    </w:tbl>
    <w:p>
      <w:pPr>
        <w:jc w:val="left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br w:type="page"/>
      </w:r>
    </w:p>
    <w:p>
      <w:pPr>
        <w:jc w:val="center"/>
        <w:rPr>
          <w:rFonts w:hint="default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</w:rPr>
        <w:t>三等奖</w:t>
      </w:r>
      <w:r>
        <w:rPr>
          <w:rFonts w:hint="eastAsia" w:eastAsia="黑体"/>
          <w:sz w:val="28"/>
          <w:szCs w:val="28"/>
          <w:lang w:val="en-US" w:eastAsia="zh-CN"/>
        </w:rPr>
        <w:t>获奖名单</w:t>
      </w:r>
    </w:p>
    <w:tbl>
      <w:tblPr>
        <w:tblStyle w:val="3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  <w:gridCol w:w="4134"/>
        <w:gridCol w:w="2002"/>
      </w:tblGrid>
      <w:tr>
        <w:trPr>
          <w:trHeight w:val="44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论文名称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作者单位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论行政行为违法检察监督范围——以主观公权利与客观法区分为逻辑起点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江苏省扬州市广陵区人民检察院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冯庆俊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行政违法行为检察监督的规范基础与制度构造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深圳市人民检察院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梁忠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“遗落之诉”实质性化解的理论检视与规范建构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中国人民公安大学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钟威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法治化营商环境下行政非诉执 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行</w:t>
            </w:r>
            <w:r>
              <w:rPr>
                <w:rFonts w:hint="eastAsia"/>
                <w:sz w:val="28"/>
                <w:szCs w:val="28"/>
              </w:rPr>
              <w:t>——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以福建省福州市检察机关实践为研究视角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福州市人民检察院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宋建华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郑畑君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涉案企业合规行刑反向衔接的构建与完善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天津市人民检察院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王建军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曲文博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新时代能动检察理念实现的制度环境与技术路径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吉林大学法学院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孟融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行政检察监督中行政行为明显不当判断标准探析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连云港市赣榆区人民检察院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刘炳海  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倪雪  李玲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论检察公益诉讼机制保障妇女权益的正当性及其完善——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以平等就业权为例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中国政法大学法学院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郭晓飞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行政检察监督视域下强制隔离戒毒的“刑行衔接”制度之构建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最高检行政检察研究基地·武汉大学行政检察研究中心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何佳钰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论行政检察监督在优化营商环境中的作用机理、功能目标与完善进路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中国政法大学法学院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翁明杰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论大数据推动下行政非诉执行的检察监督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甘肃政法大学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陈春丽</w:t>
            </w:r>
          </w:p>
          <w:p>
            <w:pPr>
              <w:spacing w:line="400" w:lineRule="exact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刘斌斌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行政检察的能动履职理论与实践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北京市昌平区人民检察院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高刚  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冯涛 孙晓洁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新时代行政检察制度论纲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上海政法学院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梁春程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行政抗诉制度基本理论问题研究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北京市人民检察院第三分院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刘京蒙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行刑反向衔接机制的实践检视及路径完善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江苏省徐州市人民检察院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王辉 鲍莉 戴广栋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行政非诉执行检察监督之检视与纠偏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广西壮族自治区藤县人民检察院 广西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壮族</w:t>
            </w:r>
            <w:r>
              <w:rPr>
                <w:rFonts w:hint="eastAsia"/>
                <w:sz w:val="28"/>
                <w:szCs w:val="28"/>
              </w:rPr>
              <w:t>自治区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人民</w:t>
            </w:r>
            <w:r>
              <w:rPr>
                <w:rFonts w:hint="eastAsia"/>
                <w:sz w:val="28"/>
                <w:szCs w:val="28"/>
              </w:rPr>
              <w:t>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农政朝 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刘元见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行政违法行为检察监督的合法性困境与出路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中南大学法学院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郭理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“府检联动”背景下做实行刑反向衔接和行政违法行为监督的路径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镇江市人民检察院 丹阳市人民检察院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万冰兵  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娜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“府检联动”与行政检察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江苏省连云港市人民检察院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孟倩 任丽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检察机关参与企业行政合规的法理基础与路径构建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江苏省宜兴市人民检察院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张志钢 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吴兴亥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行政违法行为检察监督的案源发现问题研究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浙江省衢州市人民检察院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陈飞 赵辉 汪璆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智慧检务：论未来检察的阿基米德支点数字+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浙江省台州市天台县人民法院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杨丹 姚梦莹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行政检察视阈下易制毒化学品监管的完善进路--以法治化营商环境为视角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福建省莆田市人民检察院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范志鸿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行政规范性文件的检察监督——论构建诉讼内、外双轮驱动的规范监督格局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北京市人民检察院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第二分院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王子涵 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许昊文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新时代行政检察的现实图景与规范探索——以指导性案例为视角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四川省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易甸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李晋蓉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检察机关行政检察主导反向衔接工作的制度优势和基层实践探索</w:t>
            </w:r>
            <w:r>
              <w:rPr>
                <w:rFonts w:cs="Times New Roman"/>
                <w:sz w:val="28"/>
                <w:szCs w:val="28"/>
              </w:rPr>
              <w:t>—</w:t>
            </w:r>
            <w:r>
              <w:rPr>
                <w:rFonts w:hint="eastAsia"/>
                <w:sz w:val="28"/>
                <w:szCs w:val="28"/>
              </w:rPr>
              <w:t>以北京朝阳院为研究样本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北京市朝阳区人民检察院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程涛 邱雁 李静雯 尚振杰</w:t>
            </w:r>
          </w:p>
        </w:tc>
      </w:tr>
      <w:tr>
        <w:trPr>
          <w:trHeight w:val="1440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行政检察参与行刑反向衔接的逻辑、问题与路径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——以浙江省检察机关的实践为样本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浙江省人民检察院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浙江省人民检察院第七检察部课题组</w:t>
            </w:r>
          </w:p>
        </w:tc>
      </w:tr>
      <w:tr>
        <w:trPr>
          <w:trHeight w:val="567" w:hRule="atLeast"/>
          <w:jc w:val="center"/>
        </w:trPr>
        <w:tc>
          <w:tcPr>
            <w:tcW w:w="3788" w:type="dxa"/>
            <w:vAlign w:val="center"/>
          </w:tcPr>
          <w:p>
            <w:pPr>
              <w:spacing w:line="400" w:lineRule="exact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行刑反向衔接的实践问题与解决思路</w:t>
            </w:r>
          </w:p>
        </w:tc>
        <w:tc>
          <w:tcPr>
            <w:tcW w:w="413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eastAsia="宋体-简"/>
                <w:sz w:val="28"/>
                <w:szCs w:val="28"/>
              </w:rPr>
              <w:t>江西省赣州市人民检察院</w:t>
            </w:r>
          </w:p>
        </w:tc>
        <w:tc>
          <w:tcPr>
            <w:tcW w:w="2002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杨仓仓 郭榕 蔡星聪</w:t>
            </w:r>
          </w:p>
        </w:tc>
      </w:tr>
    </w:tbl>
    <w:p>
      <w:pPr>
        <w:jc w:val="center"/>
        <w:rPr>
          <w:rFonts w:hint="default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</w:rPr>
        <w:t>优秀奖</w:t>
      </w:r>
      <w:r>
        <w:rPr>
          <w:rFonts w:hint="eastAsia" w:eastAsia="黑体"/>
          <w:sz w:val="28"/>
          <w:szCs w:val="28"/>
          <w:lang w:val="en-US" w:eastAsia="zh-CN"/>
        </w:rPr>
        <w:t>获奖名单</w:t>
      </w:r>
    </w:p>
    <w:tbl>
      <w:tblPr>
        <w:tblStyle w:val="3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1"/>
        <w:gridCol w:w="3817"/>
        <w:gridCol w:w="2136"/>
      </w:tblGrid>
      <w:tr>
        <w:trPr>
          <w:trHeight w:val="567" w:hRule="atLeast"/>
          <w:jc w:val="center"/>
        </w:trPr>
        <w:tc>
          <w:tcPr>
            <w:tcW w:w="397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论文名称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作者单位</w:t>
            </w:r>
          </w:p>
        </w:tc>
        <w:tc>
          <w:tcPr>
            <w:tcW w:w="21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作者姓名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行政非诉执行检察监督之理据、困局及优化 ——以土地非诉执行问题为切入点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中南财经政法大学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何美奇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行政执法与刑事司法衔接中检察监督问题实务研究——以生态环境领域为研究对象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江苏省太仓市人民检察院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张云东 王照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检察机关参与行政争议实质性化解的基层实践和优化路径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江苏省盱眙县人民检察院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潘凌云  丁铁城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检察提前介入行政执法调查制度的问题检视与完善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成都大学法学院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郑自飞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抽象行政行为检察监督的确证与界定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西南大学法学院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贺奇兵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行政检察护航法治化营商环境建设的边界与路径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新疆维吾尔自治区人民检察院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马超群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土地执法领域“裁执分离”探索的实践困境与行政检察能动履职路径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江苏省盱眙县人民检察院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方文龙 刘安静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大数据+治理，行政检察推动优化营商环境——以加强商标行政保护案为例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苏州市吴江区人民检察院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张悦雯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行政争议的实质性化解与行政机关自我纠错——以检察建议制度为研究视角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淮安市淮安区人民检察院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高峰 咸建友  王玉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论“潜在之诉”检察监督的构建与完善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甘肃政法大学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王菲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徐东湖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行政公益诉讼中行政机关依法履职判断标准刍议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浙江省温州市鹿城区人民检察院 南京师范大学法学院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李海燕 尹培培 董史统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检察监督中行政违法行为的识别基准建构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常州大学非诉讼研究院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张凌岱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复议为主渠道的行政争议实质性化解模式的检察需求和发展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蓬安县人民检察院办公室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胡海伦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李玥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府检联动助推数字法治政府建设探究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北京市人民检察院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李小倩 李启晨 王艺璇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数字赋能行政检察的制度困境与路径选择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郑州大学法学院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侯宇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龚金风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“府检联动”赋能行政检察监督的制度分析—以行政争议实质性化解为视角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贵州省六盘水市六枝特区人民检察院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instrText xml:space="preserve"> HYPERLINK "file:///D:\\软件\\微信缓存\\WeChat%20Files\\wxid_sv5a7dua1heu22\\FileStorage\\File\\2024-03\\行政检察征文分数表.20240106124528534.xlsx" \l "RANGE!_ftn1" </w:instrTex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fldChar w:fldCharType="separate"/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/>
              </w:rPr>
              <w:t>齐加维 虎佳娥</w:t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u w:val="none"/>
              </w:rPr>
              <w:fldChar w:fldCharType="end"/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涉案企业合规刑行衔接的检察优化研究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浙江省宁波市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人民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吕海庆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陈鹿林刘东杰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行政非诉执行案件中加处罚款减免问题的检察监督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山东省沂源县人民检察院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王龙雨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营商环境投诉监督模式评估与策略优化——基于行政检察护航法治化营商环境的视角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浙江省宁波市人民检察院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浙江省余姚市人民检察院第九检察部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280" w:firstLineChars="10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虞路</w:t>
            </w:r>
          </w:p>
          <w:p>
            <w:pPr>
              <w:spacing w:line="400" w:lineRule="exact"/>
              <w:ind w:firstLine="280" w:firstLineChars="10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刘义华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矿产资源领域行政执法与刑事司法衔接机制研究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宁夏回族自治区石嘴山市惠农区人民检察院 兰州大学法学院 宁夏回族自治区石嘴山市自然资源局综合法规科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王天栋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杨雅妮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何国安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复合型监督：街镇综合执法的检察监督机制构造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大连海事大学法学院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郑琳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依法行政视野下行政违法行为检察监督问题探究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江苏省淮安市清江浦区人民检察院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王妍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张笑雨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相对不起诉后行刑反向衔接实践困境和完善路径探究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贵州省纳雍县人民检察院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刘凯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关于检察机关加强行政违法行为监督 助力提升企业合规治理质效的实践与探索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安陆市人民检察院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胡海坤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高欢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全域积极主义数字检察监督理论下行政违法行为监督模式构建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南京市玄武区人民检察院 东南大学社科处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余红  王禄生  江舜治  沐岚  郭桥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检察机关开展行政争议实质性化解的实践探索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山东省威海火炬高技术产业开发区人民检察院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卢佳佳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行政执法过程中的“人的尊严”的保护例析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苏州大学王健法学院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黄鑫政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行政犯违法判断标准——质的差异说之提倡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南开大学法学院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杨秀昌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全过程人民民主理念下人民监督员制度完善研究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大连海事大学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法学院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姜兴智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环境行政公益诉讼之实证研究——以宜居梧州建设为例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广西壮族自治区藤县人民检察院 广西自治区检察院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叶耀隆  农政朝  刘元见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对行政违法检察监督的思考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江苏省扬州市宝应县人民检察院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汤勇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浅谈行刑双向衔接中检察监督制度研究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湖北省襄阳市南漳县人民检察院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李会龙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行政违法行为监督与行政公益诉讼界限问题研究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江苏省无锡市梁溪区人民检察院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朱佩佩 陈跃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王茜 夏京鸿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行政检察能动履职的理论与实践</w:t>
            </w:r>
          </w:p>
        </w:tc>
        <w:tc>
          <w:tcPr>
            <w:tcW w:w="3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江苏省扬州市邗江区人民检察院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宋晨 刘岚涛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数字赋能行政检察监督研究</w:t>
            </w:r>
          </w:p>
        </w:tc>
        <w:tc>
          <w:tcPr>
            <w:tcW w:w="3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哈尔滨市平房区人民检察院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周杨璐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刘羽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规范性文件附带审查双轨制的困境与疏解</w:t>
            </w:r>
          </w:p>
        </w:tc>
        <w:tc>
          <w:tcPr>
            <w:tcW w:w="3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郑州大学法学院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highlight w:val="none"/>
              </w:rPr>
              <w:t>于启航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论行政检察数字化的基层实现路径</w:t>
            </w:r>
          </w:p>
        </w:tc>
        <w:tc>
          <w:tcPr>
            <w:tcW w:w="3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无锡市惠山区人民检察院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李博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行政检察监督在法治政府建设中的影响与实践</w:t>
            </w:r>
          </w:p>
        </w:tc>
        <w:tc>
          <w:tcPr>
            <w:tcW w:w="3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江苏省淮安经济技术开发区人民检察院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文雅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沙中正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检察工作服务保障新一轮农垦改革研究——以海南省农垦系统系列职务犯罪案件为例</w:t>
            </w:r>
          </w:p>
        </w:tc>
        <w:tc>
          <w:tcPr>
            <w:tcW w:w="3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海南省三亚市人民检察院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刘涛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超期采矿的刑事司法认定</w:t>
            </w:r>
          </w:p>
        </w:tc>
        <w:tc>
          <w:tcPr>
            <w:tcW w:w="3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中南财经政法大学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蔡雨适 卢慧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企业国有财产行政公益诉讼启动标准的系统性构建</w:t>
            </w:r>
          </w:p>
        </w:tc>
        <w:tc>
          <w:tcPr>
            <w:tcW w:w="3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湘潭大学法学院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杨狄 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薛亚琼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营商环境优化的行政法治保障</w:t>
            </w:r>
          </w:p>
        </w:tc>
        <w:tc>
          <w:tcPr>
            <w:tcW w:w="3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江苏省常熟市人民检察院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张琦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>
        <w:jc w:val="center"/>
        <w:rPr>
          <w:rFonts w:hint="eastAsia" w:eastAsia="宋体"/>
          <w:b/>
          <w:bCs/>
          <w:sz w:val="28"/>
          <w:szCs w:val="28"/>
          <w:lang w:eastAsia="zh-CN"/>
        </w:rPr>
      </w:pPr>
    </w:p>
    <w:p>
      <w:pPr>
        <w:jc w:val="left"/>
        <w:rPr>
          <w:rFonts w:hint="eastAsia" w:eastAsia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eastAsia="黑体"/>
          <w:b w:val="0"/>
          <w:bCs w:val="0"/>
          <w:sz w:val="28"/>
          <w:szCs w:val="28"/>
          <w:lang w:val="en-US" w:eastAsia="zh-CN"/>
        </w:rPr>
        <w:br w:type="page"/>
      </w:r>
    </w:p>
    <w:tbl>
      <w:tblPr>
        <w:tblStyle w:val="3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1"/>
        <w:gridCol w:w="3817"/>
        <w:gridCol w:w="2136"/>
      </w:tblGrid>
      <w:tr>
        <w:trPr>
          <w:trHeight w:val="567" w:hRule="atLeast"/>
          <w:jc w:val="center"/>
        </w:trPr>
        <w:tc>
          <w:tcPr>
            <w:tcW w:w="397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论文名称</w:t>
            </w:r>
          </w:p>
        </w:tc>
        <w:tc>
          <w:tcPr>
            <w:tcW w:w="381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作者单位</w:t>
            </w:r>
          </w:p>
        </w:tc>
        <w:tc>
          <w:tcPr>
            <w:tcW w:w="21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作者姓名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宋体" w:cs="等线"/>
                <w:sz w:val="28"/>
                <w:szCs w:val="28"/>
                <w:lang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</w:rPr>
              <w:t>数字行政检察助力高质效办案</w:t>
            </w:r>
            <w:r>
              <w:rPr>
                <w:rFonts w:cs="等线"/>
                <w:b w:val="0"/>
                <w:bCs w:val="0"/>
                <w:sz w:val="28"/>
                <w:szCs w:val="28"/>
              </w:rPr>
              <w:t>——</w:t>
            </w:r>
            <w:r>
              <w:rPr>
                <w:rFonts w:hint="default"/>
                <w:b w:val="0"/>
                <w:bCs w:val="0"/>
                <w:sz w:val="28"/>
                <w:szCs w:val="28"/>
              </w:rPr>
              <w:t>以南通地区为例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优秀奖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等线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无工作单位和联系方式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等线"/>
                <w:sz w:val="28"/>
                <w:szCs w:val="28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</w:rPr>
              <w:t>陈</w:t>
            </w:r>
            <w:r>
              <w:rPr>
                <w:rFonts w:hint="default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/>
                <w:b w:val="0"/>
                <w:bCs w:val="0"/>
                <w:sz w:val="28"/>
                <w:szCs w:val="28"/>
              </w:rPr>
              <w:t>默</w:t>
            </w:r>
          </w:p>
        </w:tc>
      </w:tr>
      <w:tr>
        <w:trPr>
          <w:trHeight w:val="567" w:hRule="atLeast"/>
          <w:jc w:val="center"/>
        </w:trPr>
        <w:tc>
          <w:tcPr>
            <w:tcW w:w="39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等线"/>
                <w:sz w:val="28"/>
                <w:szCs w:val="28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lang w:eastAsia="zh-CN"/>
              </w:rPr>
              <w:t>环境行政公益诉讼中被告“不履行法定职责”的认定困境及对策研究——-基于595份判决书的实证分析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优秀奖</w:t>
            </w:r>
            <w:r>
              <w:rPr>
                <w:rFonts w:hint="eastAsia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等线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无工作单位和联系方式</w:t>
            </w:r>
          </w:p>
        </w:tc>
        <w:tc>
          <w:tcPr>
            <w:tcW w:w="21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宋体" w:cs="等线"/>
                <w:sz w:val="28"/>
                <w:szCs w:val="28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</w:rPr>
              <w:t>刘慧 董欣仪</w:t>
            </w:r>
          </w:p>
        </w:tc>
      </w:tr>
    </w:tbl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</w:t>
      </w:r>
    </w:p>
    <w:p>
      <w:pPr>
        <w:ind w:firstLine="561" w:firstLineChars="20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论文获奖信息公示自2024年7月13日至7月20日，对以上获奖信息有任何疑问请联系官方邮箱：xzjc_uibe@163.com</w:t>
      </w:r>
    </w:p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</w:t>
      </w:r>
    </w:p>
    <w:p>
      <w:pPr>
        <w:rPr>
          <w:rFonts w:hint="eastAsia" w:eastAsia="宋体"/>
          <w:lang w:eastAsia="zh-CN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-简">
    <w:panose1 w:val="02010800040101010101"/>
    <w:charset w:val="86"/>
    <w:family w:val="roman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lYmUzNjI0YmU5MjIxODJlYzg3OGRlYjRhMjNmYTcifQ=="/>
  </w:docVars>
  <w:rsids>
    <w:rsidRoot w:val="00000000"/>
    <w:rsid w:val="004F723B"/>
    <w:rsid w:val="01F052AB"/>
    <w:rsid w:val="02F40A04"/>
    <w:rsid w:val="03184DF3"/>
    <w:rsid w:val="032A138E"/>
    <w:rsid w:val="04EA3FA4"/>
    <w:rsid w:val="061955F6"/>
    <w:rsid w:val="06502F85"/>
    <w:rsid w:val="06506C68"/>
    <w:rsid w:val="066A5BB4"/>
    <w:rsid w:val="067A52A4"/>
    <w:rsid w:val="07280DD7"/>
    <w:rsid w:val="07774F5E"/>
    <w:rsid w:val="078332B7"/>
    <w:rsid w:val="08D75A41"/>
    <w:rsid w:val="08DA13C8"/>
    <w:rsid w:val="08EE5D55"/>
    <w:rsid w:val="0ACA2740"/>
    <w:rsid w:val="0B1B711E"/>
    <w:rsid w:val="0B57157F"/>
    <w:rsid w:val="0B5E0AD3"/>
    <w:rsid w:val="0B9A673F"/>
    <w:rsid w:val="0BAB6F95"/>
    <w:rsid w:val="0BE73E5A"/>
    <w:rsid w:val="0BF80285"/>
    <w:rsid w:val="0CF559E0"/>
    <w:rsid w:val="0FBF7C42"/>
    <w:rsid w:val="10672A8F"/>
    <w:rsid w:val="112F5DE8"/>
    <w:rsid w:val="113F19A2"/>
    <w:rsid w:val="116B3559"/>
    <w:rsid w:val="119020EA"/>
    <w:rsid w:val="11A869A6"/>
    <w:rsid w:val="13CC20B6"/>
    <w:rsid w:val="145B61F9"/>
    <w:rsid w:val="1497723F"/>
    <w:rsid w:val="14F069E0"/>
    <w:rsid w:val="16086D81"/>
    <w:rsid w:val="16506710"/>
    <w:rsid w:val="19DD4A13"/>
    <w:rsid w:val="1A0A15E4"/>
    <w:rsid w:val="1AF65B37"/>
    <w:rsid w:val="1CCA6DEC"/>
    <w:rsid w:val="1D18603F"/>
    <w:rsid w:val="1D1B42FF"/>
    <w:rsid w:val="1D521FD8"/>
    <w:rsid w:val="1E5256F9"/>
    <w:rsid w:val="1F4C559C"/>
    <w:rsid w:val="1FF92B30"/>
    <w:rsid w:val="2060226C"/>
    <w:rsid w:val="20ED14D2"/>
    <w:rsid w:val="234E5D71"/>
    <w:rsid w:val="238A1EA5"/>
    <w:rsid w:val="23C46ABB"/>
    <w:rsid w:val="24C77CFC"/>
    <w:rsid w:val="24E371D5"/>
    <w:rsid w:val="250D2CA9"/>
    <w:rsid w:val="25481B0D"/>
    <w:rsid w:val="257757D7"/>
    <w:rsid w:val="263262B5"/>
    <w:rsid w:val="27DC56F6"/>
    <w:rsid w:val="27E26B39"/>
    <w:rsid w:val="27FB5A32"/>
    <w:rsid w:val="28591D9C"/>
    <w:rsid w:val="28627ACB"/>
    <w:rsid w:val="286373D8"/>
    <w:rsid w:val="292D67A8"/>
    <w:rsid w:val="2A2026DC"/>
    <w:rsid w:val="2AFB1635"/>
    <w:rsid w:val="2BB01641"/>
    <w:rsid w:val="2C8F041B"/>
    <w:rsid w:val="2D10615A"/>
    <w:rsid w:val="2DDD491B"/>
    <w:rsid w:val="2F41787B"/>
    <w:rsid w:val="2F8226F9"/>
    <w:rsid w:val="303F0E95"/>
    <w:rsid w:val="304E49C0"/>
    <w:rsid w:val="307B49FB"/>
    <w:rsid w:val="31EE75BB"/>
    <w:rsid w:val="32390531"/>
    <w:rsid w:val="327B0134"/>
    <w:rsid w:val="32BB7416"/>
    <w:rsid w:val="334F0946"/>
    <w:rsid w:val="34143B28"/>
    <w:rsid w:val="361115D4"/>
    <w:rsid w:val="36D72AC9"/>
    <w:rsid w:val="37550913"/>
    <w:rsid w:val="379B058E"/>
    <w:rsid w:val="38EF03C3"/>
    <w:rsid w:val="3A44066E"/>
    <w:rsid w:val="3B187A97"/>
    <w:rsid w:val="3B4921F3"/>
    <w:rsid w:val="3B9E75DB"/>
    <w:rsid w:val="3C3957B7"/>
    <w:rsid w:val="3D823C88"/>
    <w:rsid w:val="41FA0E98"/>
    <w:rsid w:val="420A530F"/>
    <w:rsid w:val="424273C7"/>
    <w:rsid w:val="427D06DF"/>
    <w:rsid w:val="42D9384F"/>
    <w:rsid w:val="43067E32"/>
    <w:rsid w:val="4449228E"/>
    <w:rsid w:val="44DF2687"/>
    <w:rsid w:val="464C4138"/>
    <w:rsid w:val="465C246F"/>
    <w:rsid w:val="47541F69"/>
    <w:rsid w:val="479E4117"/>
    <w:rsid w:val="481F2934"/>
    <w:rsid w:val="483F75AE"/>
    <w:rsid w:val="48D304BC"/>
    <w:rsid w:val="4918383D"/>
    <w:rsid w:val="495601D6"/>
    <w:rsid w:val="4A5F4C5B"/>
    <w:rsid w:val="4A6B1E6C"/>
    <w:rsid w:val="4BB919D8"/>
    <w:rsid w:val="4C94147F"/>
    <w:rsid w:val="4E922B4C"/>
    <w:rsid w:val="503D363F"/>
    <w:rsid w:val="50C562D1"/>
    <w:rsid w:val="510D327D"/>
    <w:rsid w:val="535315EF"/>
    <w:rsid w:val="544355D2"/>
    <w:rsid w:val="54BC1518"/>
    <w:rsid w:val="55093227"/>
    <w:rsid w:val="55DE19A6"/>
    <w:rsid w:val="55DE31BE"/>
    <w:rsid w:val="55EA6302"/>
    <w:rsid w:val="56FF1138"/>
    <w:rsid w:val="582F2D3C"/>
    <w:rsid w:val="58317750"/>
    <w:rsid w:val="59BE33AF"/>
    <w:rsid w:val="5A92718F"/>
    <w:rsid w:val="5B2729D5"/>
    <w:rsid w:val="5B6056FF"/>
    <w:rsid w:val="5BE7C069"/>
    <w:rsid w:val="5C003F1D"/>
    <w:rsid w:val="5C221A82"/>
    <w:rsid w:val="5C2F77B7"/>
    <w:rsid w:val="5D38646D"/>
    <w:rsid w:val="5D8A6B2D"/>
    <w:rsid w:val="5DCE3069"/>
    <w:rsid w:val="5EFFC7EA"/>
    <w:rsid w:val="60586E51"/>
    <w:rsid w:val="608A76A2"/>
    <w:rsid w:val="60DC2039"/>
    <w:rsid w:val="61B564E1"/>
    <w:rsid w:val="61FE021E"/>
    <w:rsid w:val="62067C69"/>
    <w:rsid w:val="62860788"/>
    <w:rsid w:val="647B5465"/>
    <w:rsid w:val="64BA3450"/>
    <w:rsid w:val="64BC3B26"/>
    <w:rsid w:val="654859AC"/>
    <w:rsid w:val="65D10505"/>
    <w:rsid w:val="66662AFB"/>
    <w:rsid w:val="669E252C"/>
    <w:rsid w:val="67401280"/>
    <w:rsid w:val="67652C3D"/>
    <w:rsid w:val="676D7358"/>
    <w:rsid w:val="69327C56"/>
    <w:rsid w:val="6A2A57EF"/>
    <w:rsid w:val="6AE16289"/>
    <w:rsid w:val="6AE43BB0"/>
    <w:rsid w:val="6B7A004A"/>
    <w:rsid w:val="6BB71404"/>
    <w:rsid w:val="6BC800E1"/>
    <w:rsid w:val="6C1D0D53"/>
    <w:rsid w:val="6C33AEE4"/>
    <w:rsid w:val="6D5A4830"/>
    <w:rsid w:val="6E255E3F"/>
    <w:rsid w:val="6E586124"/>
    <w:rsid w:val="6EA179E0"/>
    <w:rsid w:val="6ED34A50"/>
    <w:rsid w:val="6FFD04AA"/>
    <w:rsid w:val="704550AF"/>
    <w:rsid w:val="70D67A4D"/>
    <w:rsid w:val="716939E9"/>
    <w:rsid w:val="717B6EA5"/>
    <w:rsid w:val="723A75C8"/>
    <w:rsid w:val="72C866CA"/>
    <w:rsid w:val="735F2993"/>
    <w:rsid w:val="737824E8"/>
    <w:rsid w:val="73AD4DB5"/>
    <w:rsid w:val="73D30DFB"/>
    <w:rsid w:val="73FE180A"/>
    <w:rsid w:val="7431295D"/>
    <w:rsid w:val="766715FD"/>
    <w:rsid w:val="768D50F0"/>
    <w:rsid w:val="76A17840"/>
    <w:rsid w:val="777E264F"/>
    <w:rsid w:val="782D7EEE"/>
    <w:rsid w:val="78E0713B"/>
    <w:rsid w:val="79F7623D"/>
    <w:rsid w:val="7A245BD0"/>
    <w:rsid w:val="7B022677"/>
    <w:rsid w:val="7B803C19"/>
    <w:rsid w:val="7C220D83"/>
    <w:rsid w:val="7DF81C77"/>
    <w:rsid w:val="7E67DABC"/>
    <w:rsid w:val="7FC5450D"/>
    <w:rsid w:val="D7EECC70"/>
    <w:rsid w:val="F1D79D9E"/>
    <w:rsid w:val="F33F18E9"/>
    <w:rsid w:val="F3CB4861"/>
    <w:rsid w:val="FFFFF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等线"/>
      <w:kern w:val="2"/>
      <w:sz w:val="18"/>
      <w:szCs w:val="18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3908</Words>
  <Characters>3936</Characters>
  <Lines>0</Lines>
  <Paragraphs>0</Paragraphs>
  <TotalTime>4</TotalTime>
  <ScaleCrop>false</ScaleCrop>
  <LinksUpToDate>false</LinksUpToDate>
  <CharactersWithSpaces>4091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2024-05-21T09:26:00Z</dcterms:created>
  <dc:creator>franklibo</dc:creator>
  <cp:lastModifiedBy>yissa</cp:lastModifiedBy>
  <dcterms:modified xsi:type="dcterms:W3CDTF">2024-07-13T17:40:33Z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8EFF124DB4444F98AB87BB5F0BD4FE66_13</vt:lpwstr>
  </property>
</Properties>
</file>